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F30" w:rsidRPr="00A77490" w:rsidRDefault="00310ADF" w:rsidP="00F83824">
      <w:pPr>
        <w:pStyle w:val="Nincstrkz"/>
        <w:jc w:val="center"/>
        <w:rPr>
          <w:rFonts w:ascii="Arial" w:hAnsi="Arial" w:cs="Arial"/>
          <w:b/>
          <w:sz w:val="24"/>
          <w:szCs w:val="24"/>
          <w:lang w:val="en-GB"/>
        </w:rPr>
      </w:pPr>
      <w:r w:rsidRPr="00A77490">
        <w:rPr>
          <w:rFonts w:ascii="Arial" w:hAnsi="Arial" w:cs="Arial"/>
          <w:b/>
          <w:sz w:val="24"/>
          <w:szCs w:val="24"/>
          <w:lang w:val="en-GB"/>
        </w:rPr>
        <w:t>Annex 3.</w:t>
      </w:r>
      <w:r w:rsidR="00CB2A38">
        <w:rPr>
          <w:rFonts w:ascii="Arial" w:hAnsi="Arial" w:cs="Arial"/>
          <w:b/>
          <w:sz w:val="24"/>
          <w:szCs w:val="24"/>
          <w:lang w:val="en-GB"/>
        </w:rPr>
        <w:t>5</w:t>
      </w:r>
      <w:r w:rsidRPr="00A77490">
        <w:rPr>
          <w:rFonts w:ascii="Arial" w:hAnsi="Arial" w:cs="Arial"/>
          <w:b/>
          <w:sz w:val="24"/>
          <w:szCs w:val="24"/>
          <w:lang w:val="en-GB"/>
        </w:rPr>
        <w:t>.</w:t>
      </w:r>
    </w:p>
    <w:p w:rsidR="00F83824" w:rsidRPr="00A77490" w:rsidRDefault="00F83824" w:rsidP="00F83824">
      <w:pPr>
        <w:pStyle w:val="Nincstrkz"/>
        <w:jc w:val="center"/>
        <w:rPr>
          <w:rFonts w:ascii="Arial" w:hAnsi="Arial" w:cs="Arial"/>
          <w:b/>
          <w:sz w:val="24"/>
          <w:szCs w:val="24"/>
          <w:lang w:val="en-GB"/>
        </w:rPr>
      </w:pPr>
    </w:p>
    <w:p w:rsidR="00D87843" w:rsidRPr="00A77490" w:rsidRDefault="00CB2A38" w:rsidP="00D34090">
      <w:pPr>
        <w:pStyle w:val="Nincstrkz"/>
        <w:jc w:val="center"/>
        <w:rPr>
          <w:rFonts w:ascii="Arial" w:hAnsi="Arial" w:cs="Arial"/>
          <w:b/>
          <w:sz w:val="24"/>
          <w:szCs w:val="24"/>
          <w:lang w:val="en-GB"/>
        </w:rPr>
      </w:pPr>
      <w:r>
        <w:rPr>
          <w:rFonts w:ascii="Arial" w:hAnsi="Arial" w:cs="Arial"/>
          <w:b/>
          <w:sz w:val="24"/>
          <w:szCs w:val="24"/>
          <w:lang w:val="en-GB"/>
        </w:rPr>
        <w:t>TU Notification according to RR Article 11.2</w:t>
      </w:r>
    </w:p>
    <w:p w:rsidR="00F83824" w:rsidRPr="00A77490" w:rsidRDefault="00F83824" w:rsidP="00F83824">
      <w:pPr>
        <w:pStyle w:val="Nincstrkz"/>
        <w:ind w:left="720"/>
        <w:jc w:val="both"/>
        <w:rPr>
          <w:rFonts w:ascii="Arial" w:hAnsi="Arial" w:cs="Arial"/>
          <w:b/>
          <w:lang w:val="en-GB"/>
        </w:rPr>
      </w:pPr>
    </w:p>
    <w:p w:rsidR="007D7647" w:rsidRPr="00A77490" w:rsidRDefault="00310ADF" w:rsidP="007D7647">
      <w:pPr>
        <w:pStyle w:val="Nincstrkz"/>
        <w:numPr>
          <w:ilvl w:val="0"/>
          <w:numId w:val="10"/>
        </w:numPr>
        <w:jc w:val="both"/>
        <w:rPr>
          <w:rFonts w:ascii="Arial" w:hAnsi="Arial" w:cs="Arial"/>
          <w:b/>
          <w:sz w:val="24"/>
          <w:szCs w:val="24"/>
          <w:lang w:val="en-GB"/>
        </w:rPr>
      </w:pPr>
      <w:r w:rsidRPr="00A77490">
        <w:rPr>
          <w:rFonts w:ascii="Arial" w:hAnsi="Arial" w:cs="Arial"/>
          <w:b/>
          <w:sz w:val="24"/>
          <w:szCs w:val="24"/>
          <w:lang w:val="en-GB"/>
        </w:rPr>
        <w:t>Introduction:</w:t>
      </w:r>
    </w:p>
    <w:p w:rsidR="0025681D" w:rsidRDefault="00CB2A38" w:rsidP="0025681D">
      <w:pPr>
        <w:pStyle w:val="Default"/>
      </w:pPr>
      <w:r w:rsidRPr="00CB2A38">
        <w:rPr>
          <w:lang w:eastAsia="hu-HU"/>
        </w:rPr>
        <w:t>​​​</w:t>
      </w:r>
      <w:r w:rsidR="0025681D" w:rsidRPr="0025681D">
        <w:t xml:space="preserve"> </w:t>
      </w:r>
    </w:p>
    <w:p w:rsidR="0025681D" w:rsidRPr="000958E5" w:rsidRDefault="0025681D" w:rsidP="0025681D">
      <w:pPr>
        <w:pStyle w:val="Default"/>
        <w:jc w:val="both"/>
        <w:rPr>
          <w:rFonts w:ascii="Arial" w:hAnsi="Arial" w:cs="Arial"/>
          <w:sz w:val="22"/>
          <w:szCs w:val="22"/>
          <w:lang w:val="en-GB"/>
        </w:rPr>
      </w:pPr>
      <w:r w:rsidRPr="0025681D">
        <w:rPr>
          <w:rFonts w:ascii="Arial" w:hAnsi="Arial" w:cs="Arial"/>
          <w:sz w:val="22"/>
          <w:szCs w:val="22"/>
        </w:rPr>
        <w:t xml:space="preserve"> </w:t>
      </w:r>
      <w:bookmarkStart w:id="0" w:name="_GoBack"/>
      <w:r w:rsidRPr="000958E5">
        <w:rPr>
          <w:rFonts w:ascii="Arial" w:hAnsi="Arial" w:cs="Arial"/>
          <w:sz w:val="22"/>
          <w:szCs w:val="22"/>
          <w:lang w:val="en-GB"/>
        </w:rPr>
        <w:t xml:space="preserve">The radio frequency spectrum is a natural resource which all administrations have the right to access and they should be able to use this scarce resource efficiently, neither by being interfered with nor by causing harmful interference to others. </w:t>
      </w:r>
    </w:p>
    <w:p w:rsidR="0025681D" w:rsidRPr="000958E5" w:rsidRDefault="0025681D" w:rsidP="0025681D">
      <w:pPr>
        <w:pStyle w:val="Default"/>
        <w:jc w:val="both"/>
        <w:rPr>
          <w:rFonts w:ascii="Arial" w:hAnsi="Arial" w:cs="Arial"/>
          <w:sz w:val="22"/>
          <w:szCs w:val="22"/>
          <w:lang w:val="en-GB"/>
        </w:rPr>
      </w:pPr>
      <w:r w:rsidRPr="000958E5">
        <w:rPr>
          <w:rFonts w:ascii="Arial" w:hAnsi="Arial" w:cs="Arial"/>
          <w:sz w:val="22"/>
          <w:szCs w:val="22"/>
          <w:lang w:val="en-GB"/>
        </w:rPr>
        <w:t xml:space="preserve">To facilitate such equitable access and a rational use of the radio frequency spectrum, it is imperative that all administrations apply not only their national regulations but also the ITU Radio Regulations1 (RR), which is an international treaty ratified by Member States. </w:t>
      </w:r>
    </w:p>
    <w:p w:rsidR="0025681D" w:rsidRPr="000958E5" w:rsidRDefault="0025681D" w:rsidP="0025681D">
      <w:pPr>
        <w:pStyle w:val="Default"/>
        <w:jc w:val="both"/>
        <w:rPr>
          <w:rFonts w:ascii="Arial" w:hAnsi="Arial" w:cs="Arial"/>
          <w:sz w:val="22"/>
          <w:szCs w:val="22"/>
          <w:lang w:val="en-GB"/>
        </w:rPr>
      </w:pPr>
      <w:r w:rsidRPr="000958E5">
        <w:rPr>
          <w:rFonts w:ascii="Arial" w:hAnsi="Arial" w:cs="Arial"/>
          <w:sz w:val="22"/>
          <w:szCs w:val="22"/>
          <w:lang w:val="en-GB"/>
        </w:rPr>
        <w:t xml:space="preserve">These regulations ensure that all radio usages obtain international recognition. This is done by recording those frequency assignments in the Master International Frequency Register (MIFR), also known as the Master Register (MR). This allows other administrations to take into consideration these assignments when assigning frequencies to their stations to avoid harmful interference (provision No. 8.2 of RR). It also ensures the availability of the spectrum for future usages which is also another fundamental objective. </w:t>
      </w:r>
    </w:p>
    <w:p w:rsidR="0025681D" w:rsidRPr="000958E5" w:rsidRDefault="0025681D" w:rsidP="0025681D">
      <w:pPr>
        <w:pStyle w:val="Default"/>
        <w:jc w:val="both"/>
        <w:rPr>
          <w:rFonts w:ascii="Arial" w:hAnsi="Arial" w:cs="Arial"/>
          <w:sz w:val="22"/>
          <w:szCs w:val="22"/>
          <w:lang w:val="en-GB"/>
        </w:rPr>
      </w:pPr>
      <w:r w:rsidRPr="000958E5">
        <w:rPr>
          <w:rFonts w:ascii="Arial" w:hAnsi="Arial" w:cs="Arial"/>
          <w:sz w:val="22"/>
          <w:szCs w:val="22"/>
          <w:lang w:val="en-GB"/>
        </w:rPr>
        <w:t xml:space="preserve">Among the many provisions of the Radio Regulations, this document focuses on the provisions that apply to the notification and recording of frequency assignments in the Master Register (Article 11 of the RR) as it is one of the pillars of the international regulations of the radio-frequency spectrum. </w:t>
      </w:r>
    </w:p>
    <w:p w:rsidR="00CF4429" w:rsidRPr="000958E5" w:rsidRDefault="0025681D" w:rsidP="0025681D">
      <w:pPr>
        <w:pStyle w:val="Nincstrkz"/>
        <w:jc w:val="both"/>
        <w:rPr>
          <w:rFonts w:ascii="Arial" w:hAnsi="Arial" w:cs="Arial"/>
          <w:lang w:val="en-GB"/>
        </w:rPr>
      </w:pPr>
      <w:r w:rsidRPr="000958E5">
        <w:rPr>
          <w:rFonts w:ascii="Arial" w:hAnsi="Arial" w:cs="Arial"/>
          <w:lang w:val="en-GB"/>
        </w:rPr>
        <w:t>To record assignments in the Master Register administrations need to comply with different procedures which depend on the frequency band as specific conditions may apply.</w:t>
      </w:r>
    </w:p>
    <w:p w:rsidR="0025681D" w:rsidRPr="000958E5" w:rsidRDefault="0025681D" w:rsidP="0025681D">
      <w:pPr>
        <w:pStyle w:val="Nincstrkz"/>
        <w:jc w:val="both"/>
        <w:rPr>
          <w:rFonts w:ascii="Arial" w:hAnsi="Arial" w:cs="Arial"/>
          <w:lang w:val="en-GB"/>
        </w:rPr>
      </w:pPr>
    </w:p>
    <w:p w:rsidR="0025681D" w:rsidRPr="000958E5" w:rsidRDefault="0025681D" w:rsidP="0025681D">
      <w:pPr>
        <w:pStyle w:val="Nincstrkz"/>
        <w:numPr>
          <w:ilvl w:val="0"/>
          <w:numId w:val="10"/>
        </w:numPr>
        <w:jc w:val="both"/>
        <w:rPr>
          <w:rFonts w:ascii="Arial" w:hAnsi="Arial" w:cs="Arial"/>
          <w:lang w:val="en-GB"/>
        </w:rPr>
      </w:pPr>
      <w:r w:rsidRPr="000958E5">
        <w:rPr>
          <w:b/>
          <w:bCs/>
          <w:sz w:val="23"/>
          <w:szCs w:val="23"/>
          <w:lang w:val="en-GB"/>
        </w:rPr>
        <w:t>Notification for recording in the Master Register</w:t>
      </w:r>
    </w:p>
    <w:p w:rsidR="0025681D" w:rsidRPr="000958E5" w:rsidRDefault="0025681D" w:rsidP="0025681D">
      <w:pPr>
        <w:pStyle w:val="Nincstrkz"/>
        <w:jc w:val="both"/>
        <w:rPr>
          <w:rFonts w:ascii="Arial" w:hAnsi="Arial" w:cs="Arial"/>
          <w:lang w:val="en-GB"/>
        </w:rPr>
      </w:pPr>
      <w:r w:rsidRPr="000958E5">
        <w:rPr>
          <w:rFonts w:ascii="Arial" w:hAnsi="Arial" w:cs="Arial"/>
          <w:lang w:val="en-GB"/>
        </w:rPr>
        <w:t>The terrestrial notification process for recording in the Master Register involves many steps that depend on the frequency band. A simplified view of the notification procedure is as follows:</w:t>
      </w:r>
    </w:p>
    <w:p w:rsidR="0025681D" w:rsidRPr="000958E5" w:rsidRDefault="0025681D" w:rsidP="0025681D">
      <w:pPr>
        <w:pStyle w:val="Nincstrkz"/>
        <w:jc w:val="both"/>
        <w:rPr>
          <w:rFonts w:ascii="Arial" w:hAnsi="Arial" w:cs="Arial"/>
          <w:lang w:val="en-GB"/>
        </w:rPr>
      </w:pPr>
    </w:p>
    <w:p w:rsidR="0025681D" w:rsidRPr="000958E5" w:rsidRDefault="0025681D" w:rsidP="0025681D">
      <w:pPr>
        <w:pStyle w:val="Nincstrkz"/>
        <w:jc w:val="center"/>
        <w:rPr>
          <w:rFonts w:ascii="Arial" w:hAnsi="Arial" w:cs="Arial"/>
          <w:lang w:val="en-GB"/>
        </w:rPr>
      </w:pPr>
      <w:r w:rsidRPr="000958E5">
        <w:rPr>
          <w:rFonts w:ascii="Arial" w:hAnsi="Arial" w:cs="Arial"/>
          <w:noProof/>
          <w:lang w:val="en-GB" w:eastAsia="hu-HU"/>
        </w:rPr>
        <w:drawing>
          <wp:inline distT="0" distB="0" distL="0" distR="0" wp14:anchorId="7C374FA9" wp14:editId="70F80937">
            <wp:extent cx="5830766" cy="2509786"/>
            <wp:effectExtent l="1905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32514" cy="2510538"/>
                    </a:xfrm>
                    <a:prstGeom prst="rect">
                      <a:avLst/>
                    </a:prstGeom>
                    <a:noFill/>
                    <a:ln w="9525">
                      <a:noFill/>
                      <a:miter lim="800000"/>
                      <a:headEnd/>
                      <a:tailEnd/>
                    </a:ln>
                  </pic:spPr>
                </pic:pic>
              </a:graphicData>
            </a:graphic>
          </wp:inline>
        </w:drawing>
      </w:r>
    </w:p>
    <w:p w:rsidR="0025681D" w:rsidRPr="000958E5" w:rsidRDefault="0025681D" w:rsidP="0025681D">
      <w:pPr>
        <w:pStyle w:val="Nincstrkz"/>
        <w:jc w:val="both"/>
        <w:rPr>
          <w:rFonts w:ascii="Arial" w:hAnsi="Arial" w:cs="Arial"/>
          <w:lang w:val="en-GB"/>
        </w:rPr>
      </w:pPr>
    </w:p>
    <w:p w:rsidR="0025681D" w:rsidRPr="000958E5" w:rsidRDefault="0025681D" w:rsidP="0025681D">
      <w:pPr>
        <w:pStyle w:val="Nincstrkz"/>
        <w:jc w:val="both"/>
        <w:rPr>
          <w:rFonts w:ascii="Arial" w:hAnsi="Arial" w:cs="Arial"/>
          <w:lang w:val="en-GB"/>
        </w:rPr>
      </w:pPr>
    </w:p>
    <w:p w:rsidR="0025681D" w:rsidRPr="000958E5" w:rsidRDefault="0025681D" w:rsidP="0025681D">
      <w:pPr>
        <w:pStyle w:val="Nincstrkz"/>
        <w:jc w:val="both"/>
        <w:rPr>
          <w:rFonts w:ascii="Arial" w:hAnsi="Arial" w:cs="Arial"/>
          <w:lang w:val="en-GB"/>
        </w:rPr>
      </w:pPr>
      <w:r w:rsidRPr="000958E5">
        <w:rPr>
          <w:rFonts w:ascii="Arial" w:hAnsi="Arial" w:cs="Arial"/>
          <w:lang w:val="en-GB"/>
        </w:rPr>
        <w:t xml:space="preserve">For the Bureau to initiate the treatment of notification of frequency assignments for recording in the Master Register, the notified assignments must contain all the necessary data items listed in Appendix 4 to the RR with valid values (No. 11.15). To facilitate the notification, the Bureau has created different notice types based on Appendix 4 (see Annex 1) and has provided examples and guidelines on the ITU website http://www.itu.int/en/ITU-R/terrestrial/tpr/Pages/Notification.aspx. </w:t>
      </w:r>
    </w:p>
    <w:p w:rsidR="0025681D" w:rsidRPr="000958E5" w:rsidRDefault="0025681D" w:rsidP="0025681D">
      <w:pPr>
        <w:pStyle w:val="Nincstrkz"/>
        <w:rPr>
          <w:rFonts w:ascii="Arial" w:hAnsi="Arial" w:cs="Arial"/>
          <w:lang w:val="en-GB"/>
        </w:rPr>
      </w:pPr>
      <w:r w:rsidRPr="000958E5">
        <w:rPr>
          <w:rFonts w:ascii="Arial" w:hAnsi="Arial" w:cs="Arial"/>
          <w:lang w:val="en-GB"/>
        </w:rPr>
        <w:lastRenderedPageBreak/>
        <w:t>The first obstacle of the notification is the validation since incomplete notices are not accepted by the Bureau and they are returned to the administration, or in certain cases the Bureau may seek for clarification. For that reason, it is strongly recommended that administrations validate their notices by using the validation tools provided by the Bureau before submitting them.</w:t>
      </w:r>
    </w:p>
    <w:p w:rsidR="0025681D" w:rsidRPr="000958E5" w:rsidRDefault="0025681D" w:rsidP="0025681D">
      <w:pPr>
        <w:pStyle w:val="Nincstrkz"/>
        <w:rPr>
          <w:rFonts w:ascii="Arial" w:hAnsi="Arial" w:cs="Arial"/>
          <w:lang w:val="en-GB"/>
        </w:rPr>
      </w:pPr>
    </w:p>
    <w:p w:rsidR="0025681D" w:rsidRPr="000958E5" w:rsidRDefault="0025681D" w:rsidP="0025681D">
      <w:pPr>
        <w:pStyle w:val="Nincstrkz"/>
        <w:jc w:val="both"/>
        <w:rPr>
          <w:rFonts w:ascii="Arial" w:hAnsi="Arial" w:cs="Arial"/>
          <w:lang w:val="en-GB"/>
        </w:rPr>
      </w:pPr>
      <w:r w:rsidRPr="000958E5">
        <w:rPr>
          <w:rFonts w:ascii="Arial" w:hAnsi="Arial" w:cs="Arial"/>
          <w:lang w:val="en-GB"/>
        </w:rPr>
        <w:t xml:space="preserve">In accordance with Resolution 906 and Circular Letter CR/287 dated 20 January 2009, electronic notices are to be submitted to the Bureau via the secured web interface, WISFAT (Web Interface for Submission of Frequency Assignments for Terrestrial services). </w:t>
      </w:r>
    </w:p>
    <w:p w:rsidR="0025681D" w:rsidRPr="000958E5" w:rsidRDefault="0025681D" w:rsidP="0025681D">
      <w:pPr>
        <w:pStyle w:val="Nincstrkz"/>
        <w:jc w:val="both"/>
        <w:rPr>
          <w:rFonts w:ascii="Arial" w:hAnsi="Arial" w:cs="Arial"/>
          <w:lang w:val="en-GB"/>
        </w:rPr>
      </w:pPr>
      <w:r w:rsidRPr="000958E5">
        <w:rPr>
          <w:rFonts w:ascii="Arial" w:hAnsi="Arial" w:cs="Arial"/>
          <w:lang w:val="en-GB"/>
        </w:rPr>
        <w:t xml:space="preserve">This interface is secure as only registered </w:t>
      </w:r>
      <w:proofErr w:type="spellStart"/>
      <w:r w:rsidRPr="000958E5">
        <w:rPr>
          <w:rFonts w:ascii="Arial" w:hAnsi="Arial" w:cs="Arial"/>
          <w:lang w:val="en-GB"/>
        </w:rPr>
        <w:t>notifiers</w:t>
      </w:r>
      <w:proofErr w:type="spellEnd"/>
      <w:r w:rsidRPr="000958E5">
        <w:rPr>
          <w:rFonts w:ascii="Arial" w:hAnsi="Arial" w:cs="Arial"/>
          <w:lang w:val="en-GB"/>
        </w:rPr>
        <w:t xml:space="preserve"> selected by their administration and having a TIES user account may access it. Furthermore, the </w:t>
      </w:r>
      <w:proofErr w:type="spellStart"/>
      <w:r w:rsidRPr="000958E5">
        <w:rPr>
          <w:rFonts w:ascii="Arial" w:hAnsi="Arial" w:cs="Arial"/>
          <w:lang w:val="en-GB"/>
        </w:rPr>
        <w:t>notifier</w:t>
      </w:r>
      <w:proofErr w:type="spellEnd"/>
      <w:r w:rsidRPr="000958E5">
        <w:rPr>
          <w:rFonts w:ascii="Arial" w:hAnsi="Arial" w:cs="Arial"/>
          <w:lang w:val="en-GB"/>
        </w:rPr>
        <w:t xml:space="preserve"> receives immediately an acknowledgment of receipt for all notifications successfully received by the Bureau. </w:t>
      </w:r>
    </w:p>
    <w:p w:rsidR="0025681D" w:rsidRPr="000958E5" w:rsidRDefault="0025681D" w:rsidP="0025681D">
      <w:pPr>
        <w:pStyle w:val="Nincstrkz"/>
        <w:jc w:val="both"/>
        <w:rPr>
          <w:rFonts w:ascii="Arial" w:hAnsi="Arial" w:cs="Arial"/>
          <w:lang w:val="en-GB"/>
        </w:rPr>
      </w:pPr>
      <w:r w:rsidRPr="000958E5">
        <w:rPr>
          <w:rFonts w:ascii="Arial" w:hAnsi="Arial" w:cs="Arial"/>
          <w:lang w:val="en-GB"/>
        </w:rPr>
        <w:t xml:space="preserve">To become a </w:t>
      </w:r>
      <w:proofErr w:type="spellStart"/>
      <w:r w:rsidRPr="000958E5">
        <w:rPr>
          <w:rFonts w:ascii="Arial" w:hAnsi="Arial" w:cs="Arial"/>
          <w:lang w:val="en-GB"/>
        </w:rPr>
        <w:t>notifier</w:t>
      </w:r>
      <w:proofErr w:type="spellEnd"/>
      <w:r w:rsidRPr="000958E5">
        <w:rPr>
          <w:rFonts w:ascii="Arial" w:hAnsi="Arial" w:cs="Arial"/>
          <w:lang w:val="en-GB"/>
        </w:rPr>
        <w:t xml:space="preserve">, an official request should be sent by the concerned administration to brmail@itu.int giving the name, position, service e-mail and the TIES username. Administrations may have as many </w:t>
      </w:r>
      <w:proofErr w:type="spellStart"/>
      <w:r w:rsidRPr="000958E5">
        <w:rPr>
          <w:rFonts w:ascii="Arial" w:hAnsi="Arial" w:cs="Arial"/>
          <w:lang w:val="en-GB"/>
        </w:rPr>
        <w:t>notifiers</w:t>
      </w:r>
      <w:proofErr w:type="spellEnd"/>
      <w:r w:rsidRPr="000958E5">
        <w:rPr>
          <w:rFonts w:ascii="Arial" w:hAnsi="Arial" w:cs="Arial"/>
          <w:lang w:val="en-GB"/>
        </w:rPr>
        <w:t xml:space="preserve"> as needed. </w:t>
      </w:r>
    </w:p>
    <w:p w:rsidR="0025681D" w:rsidRPr="000958E5" w:rsidRDefault="0025681D" w:rsidP="0025681D">
      <w:pPr>
        <w:pStyle w:val="Nincstrkz"/>
        <w:jc w:val="both"/>
        <w:rPr>
          <w:rFonts w:ascii="Arial" w:hAnsi="Arial" w:cs="Arial"/>
          <w:lang w:val="en-GB"/>
        </w:rPr>
      </w:pPr>
      <w:r w:rsidRPr="000958E5">
        <w:rPr>
          <w:rFonts w:ascii="Arial" w:hAnsi="Arial" w:cs="Arial"/>
          <w:lang w:val="en-GB"/>
        </w:rPr>
        <w:t xml:space="preserve">When submitting many electronic notice files on the same day, it is strongly recommended zipping them into one single file. </w:t>
      </w:r>
    </w:p>
    <w:p w:rsidR="0025681D" w:rsidRPr="000958E5" w:rsidRDefault="0025681D" w:rsidP="0025681D">
      <w:pPr>
        <w:pStyle w:val="Nincstrkz"/>
        <w:jc w:val="both"/>
        <w:rPr>
          <w:rFonts w:ascii="Arial" w:hAnsi="Arial" w:cs="Arial"/>
          <w:lang w:val="en-GB"/>
        </w:rPr>
      </w:pPr>
      <w:r w:rsidRPr="000958E5">
        <w:rPr>
          <w:rFonts w:ascii="Arial" w:hAnsi="Arial" w:cs="Arial"/>
          <w:lang w:val="en-GB"/>
        </w:rPr>
        <w:t>Relevant information and access to the interface is available at the ITU website http://www.itu.int/en/ITU-R/terrestrial/tpr/Pages/Submission.aspx.</w:t>
      </w:r>
    </w:p>
    <w:p w:rsidR="0025681D" w:rsidRPr="000958E5" w:rsidRDefault="0025681D" w:rsidP="0025681D">
      <w:pPr>
        <w:pStyle w:val="Nincstrkz"/>
        <w:jc w:val="both"/>
        <w:rPr>
          <w:rFonts w:ascii="Arial" w:hAnsi="Arial" w:cs="Arial"/>
          <w:lang w:val="en-GB"/>
        </w:rPr>
      </w:pPr>
    </w:p>
    <w:p w:rsidR="0025681D" w:rsidRPr="000958E5" w:rsidRDefault="0025681D" w:rsidP="0025681D">
      <w:pPr>
        <w:pStyle w:val="Nincstrkz"/>
        <w:jc w:val="both"/>
        <w:rPr>
          <w:rFonts w:ascii="Arial" w:hAnsi="Arial" w:cs="Arial"/>
          <w:lang w:val="en-GB"/>
        </w:rPr>
      </w:pPr>
      <w:r w:rsidRPr="000958E5">
        <w:rPr>
          <w:rFonts w:ascii="Arial" w:hAnsi="Arial" w:cs="Arial"/>
          <w:lang w:val="en-GB"/>
        </w:rPr>
        <w:t>Notices received via WISFAT are pre-validated using the same tools (</w:t>
      </w:r>
      <w:proofErr w:type="spellStart"/>
      <w:r w:rsidRPr="000958E5">
        <w:rPr>
          <w:rFonts w:ascii="Arial" w:hAnsi="Arial" w:cs="Arial"/>
          <w:lang w:val="en-GB"/>
        </w:rPr>
        <w:t>TerRaNotices</w:t>
      </w:r>
      <w:proofErr w:type="spellEnd"/>
      <w:r w:rsidRPr="000958E5">
        <w:rPr>
          <w:rFonts w:ascii="Arial" w:hAnsi="Arial" w:cs="Arial"/>
          <w:lang w:val="en-GB"/>
        </w:rPr>
        <w:t>/</w:t>
      </w:r>
      <w:proofErr w:type="spellStart"/>
      <w:r w:rsidRPr="000958E5">
        <w:rPr>
          <w:rFonts w:ascii="Arial" w:hAnsi="Arial" w:cs="Arial"/>
          <w:lang w:val="en-GB"/>
        </w:rPr>
        <w:t>TerRaNV</w:t>
      </w:r>
      <w:proofErr w:type="spellEnd"/>
      <w:r w:rsidRPr="000958E5">
        <w:rPr>
          <w:rFonts w:ascii="Arial" w:hAnsi="Arial" w:cs="Arial"/>
          <w:lang w:val="en-GB"/>
        </w:rPr>
        <w:t xml:space="preserve">) as given to the administrations via the BR IFIC. If the notices are incomplete or the file structure is not respected then these files are immediately returned to the notifying administration. Therefore, it is extremely important to valid the notices before submitting to the BR. </w:t>
      </w:r>
    </w:p>
    <w:p w:rsidR="0025681D" w:rsidRPr="000958E5" w:rsidRDefault="0025681D" w:rsidP="0025681D">
      <w:pPr>
        <w:pStyle w:val="Nincstrkz"/>
        <w:jc w:val="both"/>
        <w:rPr>
          <w:rFonts w:ascii="Arial" w:hAnsi="Arial" w:cs="Arial"/>
          <w:lang w:val="en-GB"/>
        </w:rPr>
      </w:pPr>
      <w:r w:rsidRPr="000958E5">
        <w:rPr>
          <w:rFonts w:ascii="Arial" w:hAnsi="Arial" w:cs="Arial"/>
          <w:lang w:val="en-GB"/>
        </w:rPr>
        <w:t xml:space="preserve">Thereafter these notices are further validated in more detail and also checked against the Master Register. If the notices contain errors then these notices are returned to the notifying administration (RR 11.27) or, in certain cases, clarification will be requested by the BR within a given time period. If no clarification is received the BR will return the notices. </w:t>
      </w:r>
    </w:p>
    <w:p w:rsidR="0025681D" w:rsidRPr="000958E5" w:rsidRDefault="0025681D" w:rsidP="0025681D">
      <w:pPr>
        <w:pStyle w:val="Nincstrkz"/>
        <w:jc w:val="both"/>
        <w:rPr>
          <w:rFonts w:ascii="Arial" w:hAnsi="Arial" w:cs="Arial"/>
          <w:lang w:val="en-GB" w:eastAsia="hu-HU"/>
        </w:rPr>
      </w:pPr>
      <w:r w:rsidRPr="000958E5">
        <w:rPr>
          <w:rFonts w:ascii="Arial" w:hAnsi="Arial" w:cs="Arial"/>
          <w:lang w:val="en-GB"/>
        </w:rPr>
        <w:t>Complete and valid notices will be published in Part 1 of the BR IFIC. This publication serves as an official acknowledgment of receipt, which enables administrations to check that the publication is an accurate reflection of the information submitted. Subsequently, based on the frequency band the notices will be examined with respect to their conformity with the different provision Nos. 11.30-11.36. If the results of these examinations are favourable then they will be published in Part 2 of the BR IFIC and will be entered into the Master Register. On the other hand, if the results are unfavourable they will be published in Part 3 and will be returned to the administration indicating the reason for its unfavourable findings.</w:t>
      </w:r>
    </w:p>
    <w:p w:rsidR="0025681D" w:rsidRPr="000958E5" w:rsidRDefault="0025681D" w:rsidP="0025681D">
      <w:pPr>
        <w:pStyle w:val="Nincstrkz"/>
        <w:rPr>
          <w:rFonts w:ascii="Arial" w:hAnsi="Arial" w:cs="Arial"/>
          <w:lang w:val="en-GB" w:eastAsia="hu-HU"/>
        </w:rPr>
      </w:pPr>
    </w:p>
    <w:p w:rsidR="0025681D" w:rsidRPr="000958E5" w:rsidRDefault="0025681D" w:rsidP="0025681D">
      <w:pPr>
        <w:pStyle w:val="Nincstrkz"/>
        <w:rPr>
          <w:rFonts w:ascii="Arial" w:hAnsi="Arial" w:cs="Arial"/>
          <w:lang w:val="en-GB"/>
        </w:rPr>
      </w:pPr>
      <w:r w:rsidRPr="000958E5">
        <w:rPr>
          <w:rFonts w:ascii="Arial" w:hAnsi="Arial" w:cs="Arial"/>
          <w:lang w:val="en-GB"/>
        </w:rPr>
        <w:t xml:space="preserve">Table </w:t>
      </w:r>
      <w:proofErr w:type="gramStart"/>
      <w:r w:rsidRPr="000958E5">
        <w:rPr>
          <w:rFonts w:ascii="Arial" w:hAnsi="Arial" w:cs="Arial"/>
          <w:lang w:val="en-GB"/>
        </w:rPr>
        <w:t>1.:</w:t>
      </w:r>
      <w:proofErr w:type="gramEnd"/>
      <w:r w:rsidRPr="000958E5">
        <w:rPr>
          <w:rFonts w:ascii="Arial" w:hAnsi="Arial" w:cs="Arial"/>
          <w:lang w:val="en-GB"/>
        </w:rPr>
        <w:t xml:space="preserve"> Notice types</w:t>
      </w:r>
    </w:p>
    <w:tbl>
      <w:tblPr>
        <w:tblStyle w:val="Rcsostblzat"/>
        <w:tblW w:w="9464" w:type="dxa"/>
        <w:tblLook w:val="04A0" w:firstRow="1" w:lastRow="0" w:firstColumn="1" w:lastColumn="0" w:noHBand="0" w:noVBand="1"/>
      </w:tblPr>
      <w:tblGrid>
        <w:gridCol w:w="1101"/>
        <w:gridCol w:w="3402"/>
        <w:gridCol w:w="2127"/>
        <w:gridCol w:w="2834"/>
      </w:tblGrid>
      <w:tr w:rsidR="00CB2A38" w:rsidRPr="000958E5" w:rsidTr="00CB2A38">
        <w:tc>
          <w:tcPr>
            <w:tcW w:w="1101" w:type="dxa"/>
          </w:tcPr>
          <w:p w:rsidR="00CB2A38" w:rsidRPr="000958E5" w:rsidRDefault="00CB2A38" w:rsidP="00CB2A38">
            <w:pPr>
              <w:pStyle w:val="Nincstrkz"/>
              <w:jc w:val="both"/>
              <w:rPr>
                <w:rFonts w:ascii="Arial" w:hAnsi="Arial" w:cs="Arial"/>
                <w:lang w:val="en-GB"/>
              </w:rPr>
            </w:pPr>
            <w:r w:rsidRPr="000958E5">
              <w:rPr>
                <w:rFonts w:ascii="Arial" w:hAnsi="Arial" w:cs="Arial"/>
                <w:lang w:val="en-GB"/>
              </w:rPr>
              <w:t xml:space="preserve">Notice </w:t>
            </w:r>
          </w:p>
        </w:tc>
        <w:tc>
          <w:tcPr>
            <w:tcW w:w="3402" w:type="dxa"/>
          </w:tcPr>
          <w:p w:rsidR="00CB2A38" w:rsidRPr="000958E5" w:rsidRDefault="00CB2A38" w:rsidP="00CB2A38">
            <w:pPr>
              <w:pStyle w:val="Nincstrkz"/>
              <w:jc w:val="both"/>
              <w:rPr>
                <w:rFonts w:ascii="Arial" w:hAnsi="Arial" w:cs="Arial"/>
                <w:lang w:val="en-GB"/>
              </w:rPr>
            </w:pPr>
            <w:r w:rsidRPr="000958E5">
              <w:rPr>
                <w:rFonts w:ascii="Arial" w:hAnsi="Arial" w:cs="Arial"/>
                <w:lang w:val="en-GB"/>
              </w:rPr>
              <w:t>Description</w:t>
            </w:r>
          </w:p>
        </w:tc>
        <w:tc>
          <w:tcPr>
            <w:tcW w:w="2127" w:type="dxa"/>
          </w:tcPr>
          <w:p w:rsidR="00CB2A38" w:rsidRPr="000958E5" w:rsidRDefault="00CB2A38" w:rsidP="00CB2A38">
            <w:pPr>
              <w:pStyle w:val="Nincstrkz"/>
              <w:jc w:val="both"/>
              <w:rPr>
                <w:rFonts w:ascii="Arial" w:hAnsi="Arial" w:cs="Arial"/>
                <w:lang w:val="en-GB"/>
              </w:rPr>
            </w:pPr>
            <w:r w:rsidRPr="000958E5">
              <w:rPr>
                <w:rFonts w:ascii="Arial" w:hAnsi="Arial" w:cs="Arial"/>
                <w:lang w:val="en-GB"/>
              </w:rPr>
              <w:t>Class of Stations</w:t>
            </w:r>
          </w:p>
        </w:tc>
        <w:tc>
          <w:tcPr>
            <w:tcW w:w="2834" w:type="dxa"/>
          </w:tcPr>
          <w:p w:rsidR="00CB2A38" w:rsidRPr="000958E5" w:rsidRDefault="0025681D" w:rsidP="00CB2A38">
            <w:pPr>
              <w:pStyle w:val="Nincstrkz"/>
              <w:jc w:val="both"/>
              <w:rPr>
                <w:rFonts w:ascii="Arial" w:hAnsi="Arial" w:cs="Arial"/>
                <w:lang w:val="en-GB"/>
              </w:rPr>
            </w:pPr>
            <w:r w:rsidRPr="000958E5">
              <w:rPr>
                <w:rFonts w:ascii="Arial" w:hAnsi="Arial" w:cs="Arial"/>
                <w:lang w:val="en-GB"/>
              </w:rPr>
              <w:t>Applicable provisions</w:t>
            </w:r>
          </w:p>
        </w:tc>
      </w:tr>
      <w:tr w:rsidR="00CB2A38" w:rsidRPr="000958E5" w:rsidTr="00CB2A38">
        <w:tc>
          <w:tcPr>
            <w:tcW w:w="1101" w:type="dxa"/>
          </w:tcPr>
          <w:p w:rsidR="00CB2A38" w:rsidRPr="000958E5" w:rsidRDefault="00CB2A38" w:rsidP="00CB2A38">
            <w:pPr>
              <w:pStyle w:val="Nincstrkz"/>
              <w:jc w:val="both"/>
              <w:rPr>
                <w:rFonts w:ascii="Arial" w:hAnsi="Arial" w:cs="Arial"/>
                <w:sz w:val="20"/>
                <w:szCs w:val="20"/>
                <w:lang w:val="en-GB"/>
              </w:rPr>
            </w:pPr>
            <w:r w:rsidRPr="000958E5">
              <w:rPr>
                <w:rFonts w:ascii="Arial" w:hAnsi="Arial" w:cs="Arial"/>
                <w:sz w:val="20"/>
                <w:szCs w:val="20"/>
                <w:lang w:val="en-GB"/>
              </w:rPr>
              <w:t>T11</w:t>
            </w:r>
          </w:p>
        </w:tc>
        <w:tc>
          <w:tcPr>
            <w:tcW w:w="3402" w:type="dxa"/>
          </w:tcPr>
          <w:p w:rsidR="00CB2A38" w:rsidRPr="000958E5" w:rsidRDefault="00CB2A38" w:rsidP="00CB2A38">
            <w:pPr>
              <w:pStyle w:val="Nincstrkz"/>
              <w:rPr>
                <w:rFonts w:ascii="Arial" w:hAnsi="Arial" w:cs="Arial"/>
                <w:sz w:val="20"/>
                <w:szCs w:val="20"/>
                <w:lang w:val="en-GB"/>
              </w:rPr>
            </w:pPr>
            <w:r w:rsidRPr="000958E5">
              <w:rPr>
                <w:rFonts w:ascii="Arial" w:hAnsi="Arial" w:cs="Arial"/>
                <w:color w:val="000000"/>
                <w:sz w:val="20"/>
                <w:szCs w:val="20"/>
                <w:lang w:val="en-GB"/>
              </w:rPr>
              <w:t>TERRESTRIAL TRANSMITTING STATION (TX) IN THE FIXED SERVICE (APPENDIX 4, ANNEX 1 to the Radio Regulations)</w:t>
            </w:r>
          </w:p>
        </w:tc>
        <w:tc>
          <w:tcPr>
            <w:tcW w:w="2127" w:type="dxa"/>
          </w:tcPr>
          <w:p w:rsidR="00CB2A38" w:rsidRPr="000958E5" w:rsidRDefault="00CB2A38" w:rsidP="00CB2A38">
            <w:pPr>
              <w:pStyle w:val="Nincstrkz"/>
              <w:jc w:val="both"/>
              <w:rPr>
                <w:rFonts w:ascii="Arial" w:hAnsi="Arial" w:cs="Arial"/>
                <w:sz w:val="20"/>
                <w:szCs w:val="20"/>
                <w:lang w:val="en-GB"/>
              </w:rPr>
            </w:pPr>
            <w:r w:rsidRPr="000958E5">
              <w:rPr>
                <w:rFonts w:ascii="Arial" w:hAnsi="Arial" w:cs="Arial"/>
                <w:sz w:val="20"/>
                <w:szCs w:val="20"/>
                <w:lang w:val="en-GB"/>
              </w:rPr>
              <w:t>FX</w:t>
            </w:r>
          </w:p>
        </w:tc>
        <w:tc>
          <w:tcPr>
            <w:tcW w:w="2834" w:type="dxa"/>
          </w:tcPr>
          <w:p w:rsidR="0025681D" w:rsidRPr="000958E5" w:rsidRDefault="0025681D" w:rsidP="0025681D">
            <w:pPr>
              <w:pStyle w:val="Default"/>
              <w:jc w:val="both"/>
              <w:rPr>
                <w:rFonts w:ascii="Arial" w:hAnsi="Arial" w:cs="Arial"/>
                <w:sz w:val="20"/>
                <w:szCs w:val="20"/>
                <w:lang w:val="en-GB"/>
              </w:rPr>
            </w:pPr>
            <w:r w:rsidRPr="000958E5">
              <w:rPr>
                <w:rFonts w:ascii="Arial" w:hAnsi="Arial" w:cs="Arial"/>
                <w:sz w:val="20"/>
                <w:szCs w:val="20"/>
                <w:lang w:val="en-GB"/>
              </w:rPr>
              <w:t xml:space="preserve">RR11.2 RR9.21 </w:t>
            </w:r>
          </w:p>
          <w:p w:rsidR="00CB2A38" w:rsidRPr="000958E5" w:rsidRDefault="00CB2A38" w:rsidP="00CB2A38">
            <w:pPr>
              <w:pStyle w:val="Nincstrkz"/>
              <w:jc w:val="both"/>
              <w:rPr>
                <w:rFonts w:ascii="Arial" w:hAnsi="Arial" w:cs="Arial"/>
                <w:sz w:val="20"/>
                <w:szCs w:val="20"/>
                <w:lang w:val="en-GB"/>
              </w:rPr>
            </w:pPr>
          </w:p>
        </w:tc>
      </w:tr>
      <w:tr w:rsidR="00CB2A38" w:rsidRPr="000958E5" w:rsidTr="00CB2A38">
        <w:tc>
          <w:tcPr>
            <w:tcW w:w="1101" w:type="dxa"/>
          </w:tcPr>
          <w:p w:rsidR="00CB2A38" w:rsidRPr="000958E5" w:rsidRDefault="00CB2A38" w:rsidP="00CB2A38">
            <w:pPr>
              <w:pStyle w:val="Nincstrkz"/>
              <w:jc w:val="both"/>
              <w:rPr>
                <w:rFonts w:ascii="Arial" w:hAnsi="Arial" w:cs="Arial"/>
                <w:sz w:val="20"/>
                <w:szCs w:val="20"/>
                <w:lang w:val="en-GB"/>
              </w:rPr>
            </w:pPr>
            <w:r w:rsidRPr="000958E5">
              <w:rPr>
                <w:rFonts w:ascii="Arial" w:hAnsi="Arial" w:cs="Arial"/>
                <w:sz w:val="20"/>
                <w:szCs w:val="20"/>
                <w:lang w:val="en-GB"/>
              </w:rPr>
              <w:t>T12</w:t>
            </w:r>
          </w:p>
        </w:tc>
        <w:tc>
          <w:tcPr>
            <w:tcW w:w="3402" w:type="dxa"/>
          </w:tcPr>
          <w:p w:rsidR="00CB2A38" w:rsidRPr="000958E5" w:rsidRDefault="00CB2A38" w:rsidP="00CB2A38">
            <w:pPr>
              <w:pStyle w:val="Nincstrkz"/>
              <w:rPr>
                <w:rFonts w:ascii="Arial" w:hAnsi="Arial" w:cs="Arial"/>
                <w:sz w:val="20"/>
                <w:szCs w:val="20"/>
                <w:lang w:val="en-GB"/>
              </w:rPr>
            </w:pPr>
            <w:r w:rsidRPr="000958E5">
              <w:rPr>
                <w:rFonts w:ascii="Arial" w:hAnsi="Arial" w:cs="Arial"/>
                <w:color w:val="000000"/>
                <w:sz w:val="20"/>
                <w:szCs w:val="20"/>
                <w:lang w:val="en-GB"/>
              </w:rPr>
              <w:t>​TERRESTRIAL TRANSMITTING STATION (TX) (Except station in the fixed, or LF/MF/VHF/UHF broadcasting services, or typical station) (APPENDIX 4, ANNEX 1 to the Radio Regulations)</w:t>
            </w:r>
          </w:p>
        </w:tc>
        <w:tc>
          <w:tcPr>
            <w:tcW w:w="2127" w:type="dxa"/>
          </w:tcPr>
          <w:p w:rsidR="00CB2A38" w:rsidRPr="000958E5" w:rsidRDefault="00CB2A38" w:rsidP="00CB2A38">
            <w:pPr>
              <w:pStyle w:val="Nincstrkz"/>
              <w:jc w:val="both"/>
              <w:rPr>
                <w:rFonts w:ascii="Arial" w:hAnsi="Arial" w:cs="Arial"/>
                <w:sz w:val="20"/>
                <w:szCs w:val="20"/>
                <w:lang w:val="en-GB"/>
              </w:rPr>
            </w:pPr>
            <w:r w:rsidRPr="000958E5">
              <w:rPr>
                <w:rFonts w:ascii="Arial" w:hAnsi="Arial" w:cs="Arial"/>
                <w:color w:val="000000"/>
                <w:sz w:val="20"/>
                <w:szCs w:val="20"/>
                <w:lang w:val="en-GB"/>
              </w:rPr>
              <w:t>AL, BC, FA, FB, FC, FD, FG, FL, FP, LR, NL, OE, RN, SM, SS</w:t>
            </w:r>
          </w:p>
        </w:tc>
        <w:tc>
          <w:tcPr>
            <w:tcW w:w="2834" w:type="dxa"/>
          </w:tcPr>
          <w:p w:rsidR="0025681D" w:rsidRPr="000958E5" w:rsidRDefault="0025681D" w:rsidP="0025681D">
            <w:pPr>
              <w:pStyle w:val="Default"/>
              <w:jc w:val="both"/>
              <w:rPr>
                <w:rFonts w:ascii="Arial" w:hAnsi="Arial" w:cs="Arial"/>
                <w:sz w:val="20"/>
                <w:szCs w:val="20"/>
                <w:lang w:val="en-GB"/>
              </w:rPr>
            </w:pPr>
            <w:r w:rsidRPr="000958E5">
              <w:rPr>
                <w:rFonts w:ascii="Arial" w:hAnsi="Arial" w:cs="Arial"/>
                <w:sz w:val="20"/>
                <w:szCs w:val="20"/>
                <w:lang w:val="en-GB"/>
              </w:rPr>
              <w:t xml:space="preserve">RR11.2 RR9.21 GE85N </w:t>
            </w:r>
          </w:p>
          <w:p w:rsidR="00CB2A38" w:rsidRPr="000958E5" w:rsidRDefault="00CB2A38" w:rsidP="00CB2A38">
            <w:pPr>
              <w:pStyle w:val="Nincstrkz"/>
              <w:jc w:val="both"/>
              <w:rPr>
                <w:rFonts w:ascii="Arial" w:hAnsi="Arial" w:cs="Arial"/>
                <w:sz w:val="20"/>
                <w:szCs w:val="20"/>
                <w:lang w:val="en-GB"/>
              </w:rPr>
            </w:pPr>
          </w:p>
        </w:tc>
      </w:tr>
      <w:tr w:rsidR="00CB2A38" w:rsidRPr="000958E5" w:rsidTr="00CB2A38">
        <w:tc>
          <w:tcPr>
            <w:tcW w:w="1101" w:type="dxa"/>
          </w:tcPr>
          <w:p w:rsidR="00CB2A38" w:rsidRPr="000958E5" w:rsidRDefault="00CB2A38" w:rsidP="00CB2A38">
            <w:pPr>
              <w:pStyle w:val="Nincstrkz"/>
              <w:jc w:val="both"/>
              <w:rPr>
                <w:rFonts w:ascii="Arial" w:hAnsi="Arial" w:cs="Arial"/>
                <w:sz w:val="20"/>
                <w:szCs w:val="20"/>
                <w:lang w:val="en-GB"/>
              </w:rPr>
            </w:pPr>
            <w:r w:rsidRPr="000958E5">
              <w:rPr>
                <w:rFonts w:ascii="Arial" w:hAnsi="Arial" w:cs="Arial"/>
                <w:sz w:val="20"/>
                <w:szCs w:val="20"/>
                <w:lang w:val="en-GB"/>
              </w:rPr>
              <w:t>T13</w:t>
            </w:r>
          </w:p>
        </w:tc>
        <w:tc>
          <w:tcPr>
            <w:tcW w:w="3402" w:type="dxa"/>
          </w:tcPr>
          <w:p w:rsidR="00CB2A38" w:rsidRPr="000958E5" w:rsidRDefault="00CB2A38" w:rsidP="00CB2A38">
            <w:pPr>
              <w:pStyle w:val="Nincstrkz"/>
              <w:rPr>
                <w:rFonts w:ascii="Arial" w:hAnsi="Arial" w:cs="Arial"/>
                <w:sz w:val="20"/>
                <w:szCs w:val="20"/>
                <w:lang w:val="en-GB"/>
              </w:rPr>
            </w:pPr>
            <w:r w:rsidRPr="000958E5">
              <w:rPr>
                <w:rFonts w:ascii="Arial" w:hAnsi="Arial" w:cs="Arial"/>
                <w:color w:val="000000"/>
                <w:sz w:val="20"/>
                <w:szCs w:val="20"/>
                <w:lang w:val="en-GB"/>
              </w:rPr>
              <w:t>TERRESTRIAL RECEIVING LAND STATION (RX) (APPENDIX 4, ANNEX 1 to the Radio Regulations)</w:t>
            </w:r>
          </w:p>
        </w:tc>
        <w:tc>
          <w:tcPr>
            <w:tcW w:w="2127" w:type="dxa"/>
          </w:tcPr>
          <w:p w:rsidR="00CB2A38" w:rsidRPr="000958E5" w:rsidRDefault="00CB2A38" w:rsidP="00CB2A38">
            <w:pPr>
              <w:pStyle w:val="Nincstrkz"/>
              <w:jc w:val="both"/>
              <w:rPr>
                <w:rFonts w:ascii="Arial" w:hAnsi="Arial" w:cs="Arial"/>
                <w:sz w:val="20"/>
                <w:szCs w:val="20"/>
                <w:lang w:val="en-GB"/>
              </w:rPr>
            </w:pPr>
            <w:r w:rsidRPr="000958E5">
              <w:rPr>
                <w:rFonts w:ascii="Arial" w:hAnsi="Arial" w:cs="Arial"/>
                <w:color w:val="000000"/>
                <w:sz w:val="20"/>
                <w:szCs w:val="20"/>
                <w:lang w:val="en-GB"/>
              </w:rPr>
              <w:t>AM, MA, ML, MO, MR, MS, NR, OD, RM, SA</w:t>
            </w:r>
          </w:p>
        </w:tc>
        <w:tc>
          <w:tcPr>
            <w:tcW w:w="2834" w:type="dxa"/>
          </w:tcPr>
          <w:p w:rsidR="0025681D" w:rsidRPr="000958E5" w:rsidRDefault="0025681D" w:rsidP="0025681D">
            <w:pPr>
              <w:pStyle w:val="Default"/>
              <w:jc w:val="both"/>
              <w:rPr>
                <w:rFonts w:ascii="Arial" w:hAnsi="Arial" w:cs="Arial"/>
                <w:sz w:val="20"/>
                <w:szCs w:val="20"/>
                <w:lang w:val="en-GB"/>
              </w:rPr>
            </w:pPr>
            <w:r w:rsidRPr="000958E5">
              <w:rPr>
                <w:rFonts w:ascii="Arial" w:hAnsi="Arial" w:cs="Arial"/>
                <w:sz w:val="20"/>
                <w:szCs w:val="20"/>
                <w:lang w:val="en-GB"/>
              </w:rPr>
              <w:t xml:space="preserve">RR11.9 RR9.21 </w:t>
            </w:r>
          </w:p>
          <w:p w:rsidR="00CB2A38" w:rsidRPr="000958E5" w:rsidRDefault="00CB2A38" w:rsidP="00CB2A38">
            <w:pPr>
              <w:pStyle w:val="Nincstrkz"/>
              <w:jc w:val="both"/>
              <w:rPr>
                <w:rFonts w:ascii="Arial" w:hAnsi="Arial" w:cs="Arial"/>
                <w:sz w:val="20"/>
                <w:szCs w:val="20"/>
                <w:lang w:val="en-GB"/>
              </w:rPr>
            </w:pPr>
          </w:p>
        </w:tc>
      </w:tr>
      <w:tr w:rsidR="00CB2A38" w:rsidRPr="000958E5" w:rsidTr="00CB2A38">
        <w:tc>
          <w:tcPr>
            <w:tcW w:w="1101" w:type="dxa"/>
          </w:tcPr>
          <w:p w:rsidR="00CB2A38" w:rsidRPr="000958E5" w:rsidRDefault="00CB2A38" w:rsidP="00CB2A38">
            <w:pPr>
              <w:pStyle w:val="Nincstrkz"/>
              <w:jc w:val="both"/>
              <w:rPr>
                <w:rFonts w:ascii="Arial" w:hAnsi="Arial" w:cs="Arial"/>
                <w:sz w:val="20"/>
                <w:szCs w:val="20"/>
                <w:lang w:val="en-GB"/>
              </w:rPr>
            </w:pPr>
            <w:r w:rsidRPr="000958E5">
              <w:rPr>
                <w:rFonts w:ascii="Arial" w:hAnsi="Arial" w:cs="Arial"/>
                <w:sz w:val="20"/>
                <w:szCs w:val="20"/>
                <w:lang w:val="en-GB"/>
              </w:rPr>
              <w:t>T14</w:t>
            </w:r>
          </w:p>
        </w:tc>
        <w:tc>
          <w:tcPr>
            <w:tcW w:w="3402" w:type="dxa"/>
          </w:tcPr>
          <w:p w:rsidR="00CB2A38" w:rsidRPr="000958E5" w:rsidRDefault="00CB2A38" w:rsidP="00CB2A38">
            <w:pPr>
              <w:pStyle w:val="Nincstrkz"/>
              <w:rPr>
                <w:rFonts w:ascii="Arial" w:hAnsi="Arial" w:cs="Arial"/>
                <w:sz w:val="20"/>
                <w:szCs w:val="20"/>
                <w:lang w:val="en-GB"/>
              </w:rPr>
            </w:pPr>
            <w:r w:rsidRPr="000958E5">
              <w:rPr>
                <w:rFonts w:ascii="Arial" w:hAnsi="Arial" w:cs="Arial"/>
                <w:color w:val="000000"/>
                <w:sz w:val="20"/>
                <w:szCs w:val="20"/>
                <w:lang w:val="en-GB"/>
              </w:rPr>
              <w:t>TERRESTRIAL TYPICAL TRANSMITTING STATION (TP)</w:t>
            </w:r>
            <w:r w:rsidRPr="000958E5">
              <w:rPr>
                <w:rFonts w:ascii="Arial" w:hAnsi="Arial" w:cs="Arial"/>
                <w:color w:val="000000"/>
                <w:sz w:val="20"/>
                <w:szCs w:val="20"/>
                <w:lang w:val="en-GB"/>
              </w:rPr>
              <w:br/>
              <w:t xml:space="preserve">(APPENDIX 4, ANNEX 1 to the </w:t>
            </w:r>
            <w:r w:rsidRPr="000958E5">
              <w:rPr>
                <w:rFonts w:ascii="Arial" w:hAnsi="Arial" w:cs="Arial"/>
                <w:color w:val="000000"/>
                <w:sz w:val="20"/>
                <w:szCs w:val="20"/>
                <w:lang w:val="en-GB"/>
              </w:rPr>
              <w:lastRenderedPageBreak/>
              <w:t>Radio Regulations)</w:t>
            </w:r>
          </w:p>
        </w:tc>
        <w:tc>
          <w:tcPr>
            <w:tcW w:w="2127" w:type="dxa"/>
          </w:tcPr>
          <w:p w:rsidR="00CB2A38" w:rsidRPr="000958E5" w:rsidRDefault="00CB2A38" w:rsidP="00CB2A38">
            <w:pPr>
              <w:pStyle w:val="Nincstrkz"/>
              <w:jc w:val="both"/>
              <w:rPr>
                <w:rFonts w:ascii="Arial" w:hAnsi="Arial" w:cs="Arial"/>
                <w:sz w:val="20"/>
                <w:szCs w:val="20"/>
                <w:lang w:val="en-GB"/>
              </w:rPr>
            </w:pPr>
            <w:r w:rsidRPr="000958E5">
              <w:rPr>
                <w:rFonts w:ascii="Arial" w:hAnsi="Arial" w:cs="Arial"/>
                <w:color w:val="000000"/>
                <w:sz w:val="20"/>
                <w:szCs w:val="20"/>
                <w:lang w:val="en-GB"/>
              </w:rPr>
              <w:lastRenderedPageBreak/>
              <w:t>AL, BC, FA, FB, FC, FD, FG, FL, FP, LR, NL, OE, RN, SM, SS</w:t>
            </w:r>
          </w:p>
        </w:tc>
        <w:tc>
          <w:tcPr>
            <w:tcW w:w="2834" w:type="dxa"/>
          </w:tcPr>
          <w:p w:rsidR="0025681D" w:rsidRPr="000958E5" w:rsidRDefault="0025681D" w:rsidP="0025681D">
            <w:pPr>
              <w:pStyle w:val="Default"/>
              <w:jc w:val="both"/>
              <w:rPr>
                <w:rFonts w:ascii="Arial" w:hAnsi="Arial" w:cs="Arial"/>
                <w:sz w:val="20"/>
                <w:szCs w:val="20"/>
                <w:lang w:val="en-GB"/>
              </w:rPr>
            </w:pPr>
            <w:r w:rsidRPr="000958E5">
              <w:rPr>
                <w:rFonts w:ascii="Arial" w:hAnsi="Arial" w:cs="Arial"/>
                <w:sz w:val="20"/>
                <w:szCs w:val="20"/>
                <w:lang w:val="en-GB"/>
              </w:rPr>
              <w:t xml:space="preserve">RR11.17 </w:t>
            </w:r>
          </w:p>
          <w:p w:rsidR="00CB2A38" w:rsidRPr="000958E5" w:rsidRDefault="00CB2A38" w:rsidP="00CB2A38">
            <w:pPr>
              <w:pStyle w:val="Nincstrkz"/>
              <w:jc w:val="both"/>
              <w:rPr>
                <w:rFonts w:ascii="Arial" w:hAnsi="Arial" w:cs="Arial"/>
                <w:sz w:val="20"/>
                <w:szCs w:val="20"/>
                <w:lang w:val="en-GB"/>
              </w:rPr>
            </w:pPr>
          </w:p>
        </w:tc>
      </w:tr>
      <w:tr w:rsidR="0025681D" w:rsidRPr="000958E5" w:rsidTr="00033415">
        <w:tc>
          <w:tcPr>
            <w:tcW w:w="1101" w:type="dxa"/>
          </w:tcPr>
          <w:p w:rsidR="0025681D" w:rsidRPr="000958E5" w:rsidRDefault="0025681D" w:rsidP="00033415">
            <w:pPr>
              <w:pStyle w:val="Nincstrkz"/>
              <w:jc w:val="both"/>
              <w:rPr>
                <w:rFonts w:ascii="Arial" w:hAnsi="Arial" w:cs="Arial"/>
                <w:sz w:val="20"/>
                <w:szCs w:val="20"/>
                <w:lang w:val="en-GB"/>
              </w:rPr>
            </w:pPr>
            <w:r w:rsidRPr="000958E5">
              <w:rPr>
                <w:rFonts w:ascii="Arial" w:hAnsi="Arial" w:cs="Arial"/>
                <w:sz w:val="20"/>
                <w:szCs w:val="20"/>
                <w:lang w:val="en-GB"/>
              </w:rPr>
              <w:lastRenderedPageBreak/>
              <w:t>T15</w:t>
            </w:r>
          </w:p>
        </w:tc>
        <w:tc>
          <w:tcPr>
            <w:tcW w:w="3402" w:type="dxa"/>
          </w:tcPr>
          <w:p w:rsidR="0025681D" w:rsidRPr="000958E5" w:rsidRDefault="0025681D" w:rsidP="00033415">
            <w:pPr>
              <w:pStyle w:val="Nincstrkz"/>
              <w:rPr>
                <w:rFonts w:ascii="Arial" w:hAnsi="Arial" w:cs="Arial"/>
                <w:color w:val="000000"/>
                <w:sz w:val="20"/>
                <w:szCs w:val="20"/>
                <w:lang w:val="en-GB"/>
              </w:rPr>
            </w:pPr>
            <w:r w:rsidRPr="000958E5">
              <w:rPr>
                <w:rFonts w:ascii="Arial" w:hAnsi="Arial" w:cs="Arial"/>
                <w:color w:val="000000"/>
                <w:sz w:val="20"/>
                <w:szCs w:val="20"/>
                <w:lang w:val="en-GB"/>
              </w:rPr>
              <w:t>FREQUENCY ALLOTMENT IN THE MARITIME MOBILE SERVICE</w:t>
            </w:r>
            <w:r w:rsidRPr="000958E5">
              <w:rPr>
                <w:rFonts w:ascii="Arial" w:hAnsi="Arial" w:cs="Arial"/>
                <w:color w:val="000000"/>
                <w:sz w:val="20"/>
                <w:szCs w:val="20"/>
                <w:lang w:val="en-GB"/>
              </w:rPr>
              <w:br/>
              <w:t>(APPENDIX 25 to the RR)</w:t>
            </w:r>
          </w:p>
        </w:tc>
        <w:tc>
          <w:tcPr>
            <w:tcW w:w="2127" w:type="dxa"/>
          </w:tcPr>
          <w:p w:rsidR="0025681D" w:rsidRPr="000958E5" w:rsidRDefault="0025681D" w:rsidP="00033415">
            <w:pPr>
              <w:pStyle w:val="Nincstrkz"/>
              <w:jc w:val="both"/>
              <w:rPr>
                <w:rFonts w:ascii="Arial" w:hAnsi="Arial" w:cs="Arial"/>
                <w:sz w:val="20"/>
                <w:szCs w:val="20"/>
                <w:lang w:val="en-GB"/>
              </w:rPr>
            </w:pPr>
            <w:r w:rsidRPr="000958E5">
              <w:rPr>
                <w:rFonts w:ascii="Arial" w:hAnsi="Arial" w:cs="Arial"/>
                <w:sz w:val="20"/>
                <w:szCs w:val="20"/>
                <w:lang w:val="en-GB"/>
              </w:rPr>
              <w:t>FC</w:t>
            </w:r>
          </w:p>
        </w:tc>
        <w:tc>
          <w:tcPr>
            <w:tcW w:w="2834" w:type="dxa"/>
          </w:tcPr>
          <w:p w:rsidR="0025681D" w:rsidRPr="000958E5" w:rsidRDefault="0025681D" w:rsidP="00033415">
            <w:pPr>
              <w:pStyle w:val="Default"/>
              <w:jc w:val="both"/>
              <w:rPr>
                <w:rFonts w:ascii="Arial" w:hAnsi="Arial" w:cs="Arial"/>
                <w:sz w:val="20"/>
                <w:szCs w:val="20"/>
                <w:lang w:val="en-GB"/>
              </w:rPr>
            </w:pPr>
            <w:r w:rsidRPr="000958E5">
              <w:rPr>
                <w:rFonts w:ascii="Arial" w:hAnsi="Arial" w:cs="Arial"/>
                <w:sz w:val="20"/>
                <w:szCs w:val="20"/>
                <w:lang w:val="en-GB"/>
              </w:rPr>
              <w:t xml:space="preserve">AP25/1.1.1 AP25/1.1.2 AP25/1.25 </w:t>
            </w:r>
          </w:p>
          <w:p w:rsidR="0025681D" w:rsidRPr="000958E5" w:rsidRDefault="0025681D" w:rsidP="00033415">
            <w:pPr>
              <w:pStyle w:val="Nincstrkz"/>
              <w:jc w:val="both"/>
              <w:rPr>
                <w:rFonts w:ascii="Arial" w:hAnsi="Arial" w:cs="Arial"/>
                <w:sz w:val="20"/>
                <w:szCs w:val="20"/>
                <w:lang w:val="en-GB"/>
              </w:rPr>
            </w:pPr>
          </w:p>
        </w:tc>
      </w:tr>
      <w:tr w:rsidR="0025681D" w:rsidRPr="000958E5" w:rsidTr="00033415">
        <w:tc>
          <w:tcPr>
            <w:tcW w:w="1101" w:type="dxa"/>
          </w:tcPr>
          <w:p w:rsidR="0025681D" w:rsidRPr="000958E5" w:rsidRDefault="0025681D" w:rsidP="00033415">
            <w:pPr>
              <w:pStyle w:val="Nincstrkz"/>
              <w:jc w:val="both"/>
              <w:rPr>
                <w:rFonts w:ascii="Arial" w:hAnsi="Arial" w:cs="Arial"/>
                <w:sz w:val="20"/>
                <w:szCs w:val="20"/>
                <w:lang w:val="en-GB"/>
              </w:rPr>
            </w:pPr>
            <w:r w:rsidRPr="000958E5">
              <w:rPr>
                <w:rFonts w:ascii="Arial" w:hAnsi="Arial" w:cs="Arial"/>
                <w:sz w:val="20"/>
                <w:szCs w:val="20"/>
                <w:lang w:val="en-GB"/>
              </w:rPr>
              <w:t>T16</w:t>
            </w:r>
          </w:p>
        </w:tc>
        <w:tc>
          <w:tcPr>
            <w:tcW w:w="3402" w:type="dxa"/>
          </w:tcPr>
          <w:p w:rsidR="0025681D" w:rsidRPr="000958E5" w:rsidRDefault="0025681D" w:rsidP="00033415">
            <w:pPr>
              <w:pStyle w:val="Default"/>
              <w:rPr>
                <w:rFonts w:ascii="Arial" w:hAnsi="Arial" w:cs="Arial"/>
                <w:sz w:val="20"/>
                <w:szCs w:val="20"/>
                <w:lang w:val="en-GB"/>
              </w:rPr>
            </w:pPr>
            <w:r w:rsidRPr="000958E5">
              <w:rPr>
                <w:rFonts w:ascii="Arial" w:hAnsi="Arial" w:cs="Arial"/>
                <w:sz w:val="20"/>
                <w:szCs w:val="20"/>
                <w:lang w:val="en-GB"/>
              </w:rPr>
              <w:t>Terrestrial transmitting station (TX) (Plan update Regional Agreement, Geneva, 1985) (Article 4 of the agreement</w:t>
            </w:r>
          </w:p>
        </w:tc>
        <w:tc>
          <w:tcPr>
            <w:tcW w:w="2127" w:type="dxa"/>
          </w:tcPr>
          <w:p w:rsidR="0025681D" w:rsidRPr="000958E5" w:rsidRDefault="0025681D" w:rsidP="00033415">
            <w:pPr>
              <w:pStyle w:val="Default"/>
              <w:jc w:val="both"/>
              <w:rPr>
                <w:rFonts w:ascii="Arial" w:hAnsi="Arial" w:cs="Arial"/>
                <w:sz w:val="20"/>
                <w:szCs w:val="20"/>
                <w:lang w:val="en-GB"/>
              </w:rPr>
            </w:pPr>
            <w:r w:rsidRPr="000958E5">
              <w:rPr>
                <w:rFonts w:ascii="Arial" w:hAnsi="Arial" w:cs="Arial"/>
                <w:sz w:val="20"/>
                <w:szCs w:val="20"/>
                <w:lang w:val="en-GB"/>
              </w:rPr>
              <w:t xml:space="preserve">AL, FC </w:t>
            </w:r>
          </w:p>
          <w:p w:rsidR="0025681D" w:rsidRPr="000958E5" w:rsidRDefault="0025681D" w:rsidP="00033415">
            <w:pPr>
              <w:pStyle w:val="Nincstrkz"/>
              <w:jc w:val="both"/>
              <w:rPr>
                <w:rFonts w:ascii="Arial" w:hAnsi="Arial" w:cs="Arial"/>
                <w:sz w:val="20"/>
                <w:szCs w:val="20"/>
                <w:lang w:val="en-GB"/>
              </w:rPr>
            </w:pPr>
          </w:p>
        </w:tc>
        <w:tc>
          <w:tcPr>
            <w:tcW w:w="2834" w:type="dxa"/>
          </w:tcPr>
          <w:p w:rsidR="0025681D" w:rsidRPr="000958E5" w:rsidRDefault="0025681D" w:rsidP="00033415">
            <w:pPr>
              <w:pStyle w:val="Default"/>
              <w:jc w:val="both"/>
              <w:rPr>
                <w:rFonts w:ascii="Arial" w:hAnsi="Arial" w:cs="Arial"/>
                <w:sz w:val="20"/>
                <w:szCs w:val="20"/>
                <w:lang w:val="en-GB"/>
              </w:rPr>
            </w:pPr>
            <w:r w:rsidRPr="000958E5">
              <w:rPr>
                <w:rFonts w:ascii="Arial" w:hAnsi="Arial" w:cs="Arial"/>
                <w:sz w:val="20"/>
                <w:szCs w:val="20"/>
                <w:lang w:val="en-GB"/>
              </w:rPr>
              <w:t xml:space="preserve">GE85 (R1-MAR) GE85 (R1-AER) </w:t>
            </w:r>
          </w:p>
          <w:p w:rsidR="0025681D" w:rsidRPr="000958E5" w:rsidRDefault="0025681D" w:rsidP="00033415">
            <w:pPr>
              <w:pStyle w:val="Default"/>
              <w:jc w:val="both"/>
              <w:rPr>
                <w:rFonts w:ascii="Arial" w:hAnsi="Arial" w:cs="Arial"/>
                <w:sz w:val="20"/>
                <w:szCs w:val="20"/>
                <w:lang w:val="en-GB"/>
              </w:rPr>
            </w:pPr>
          </w:p>
        </w:tc>
      </w:tr>
      <w:tr w:rsidR="00CB2A38" w:rsidRPr="000958E5" w:rsidTr="00CB2A38">
        <w:tc>
          <w:tcPr>
            <w:tcW w:w="1101" w:type="dxa"/>
          </w:tcPr>
          <w:p w:rsidR="00CB2A38" w:rsidRPr="000958E5" w:rsidRDefault="00CB2A38" w:rsidP="00CB2A38">
            <w:pPr>
              <w:pStyle w:val="Nincstrkz"/>
              <w:jc w:val="both"/>
              <w:rPr>
                <w:rFonts w:ascii="Arial" w:hAnsi="Arial" w:cs="Arial"/>
                <w:sz w:val="20"/>
                <w:szCs w:val="20"/>
                <w:lang w:val="en-GB"/>
              </w:rPr>
            </w:pPr>
            <w:r w:rsidRPr="000958E5">
              <w:rPr>
                <w:rFonts w:ascii="Arial" w:hAnsi="Arial" w:cs="Arial"/>
                <w:sz w:val="20"/>
                <w:szCs w:val="20"/>
                <w:lang w:val="en-GB"/>
              </w:rPr>
              <w:t>T1</w:t>
            </w:r>
            <w:r w:rsidR="0025681D" w:rsidRPr="000958E5">
              <w:rPr>
                <w:rFonts w:ascii="Arial" w:hAnsi="Arial" w:cs="Arial"/>
                <w:sz w:val="20"/>
                <w:szCs w:val="20"/>
                <w:lang w:val="en-GB"/>
              </w:rPr>
              <w:t>7</w:t>
            </w:r>
          </w:p>
        </w:tc>
        <w:tc>
          <w:tcPr>
            <w:tcW w:w="3402" w:type="dxa"/>
          </w:tcPr>
          <w:p w:rsidR="00CB2A38" w:rsidRPr="000958E5" w:rsidRDefault="0025681D" w:rsidP="0025681D">
            <w:pPr>
              <w:pStyle w:val="Default"/>
              <w:rPr>
                <w:rFonts w:ascii="Arial" w:hAnsi="Arial" w:cs="Arial"/>
                <w:sz w:val="20"/>
                <w:szCs w:val="20"/>
                <w:lang w:val="en-GB"/>
              </w:rPr>
            </w:pPr>
            <w:r w:rsidRPr="000958E5">
              <w:rPr>
                <w:rFonts w:ascii="Arial" w:hAnsi="Arial" w:cs="Arial"/>
                <w:sz w:val="20"/>
                <w:szCs w:val="20"/>
                <w:lang w:val="en-GB"/>
              </w:rPr>
              <w:t xml:space="preserve">Terrestrial transmitting station (TX) using adaptive systems (Appendix 4, Annexes 1A and 1B) </w:t>
            </w:r>
          </w:p>
        </w:tc>
        <w:tc>
          <w:tcPr>
            <w:tcW w:w="2127" w:type="dxa"/>
          </w:tcPr>
          <w:p w:rsidR="0025681D" w:rsidRPr="000958E5" w:rsidRDefault="0025681D" w:rsidP="0025681D">
            <w:pPr>
              <w:pStyle w:val="Default"/>
              <w:jc w:val="both"/>
              <w:rPr>
                <w:rFonts w:ascii="Arial" w:hAnsi="Arial" w:cs="Arial"/>
                <w:sz w:val="20"/>
                <w:szCs w:val="20"/>
                <w:lang w:val="en-GB"/>
              </w:rPr>
            </w:pPr>
            <w:r w:rsidRPr="000958E5">
              <w:rPr>
                <w:rFonts w:ascii="Arial" w:hAnsi="Arial" w:cs="Arial"/>
                <w:sz w:val="20"/>
                <w:szCs w:val="20"/>
                <w:lang w:val="en-GB"/>
              </w:rPr>
              <w:t xml:space="preserve">FX, FA, FB, FC, FD, FG, FL, FP </w:t>
            </w:r>
          </w:p>
          <w:p w:rsidR="00CB2A38" w:rsidRPr="000958E5" w:rsidRDefault="00CB2A38" w:rsidP="0025681D">
            <w:pPr>
              <w:pStyle w:val="Default"/>
              <w:jc w:val="both"/>
              <w:rPr>
                <w:rFonts w:ascii="Arial" w:hAnsi="Arial" w:cs="Arial"/>
                <w:sz w:val="20"/>
                <w:szCs w:val="20"/>
                <w:lang w:val="en-GB"/>
              </w:rPr>
            </w:pPr>
          </w:p>
        </w:tc>
        <w:tc>
          <w:tcPr>
            <w:tcW w:w="2834" w:type="dxa"/>
          </w:tcPr>
          <w:p w:rsidR="0025681D" w:rsidRPr="000958E5" w:rsidRDefault="0025681D" w:rsidP="0025681D">
            <w:pPr>
              <w:pStyle w:val="Default"/>
              <w:jc w:val="both"/>
              <w:rPr>
                <w:rFonts w:ascii="Arial" w:hAnsi="Arial" w:cs="Arial"/>
                <w:sz w:val="20"/>
                <w:szCs w:val="20"/>
                <w:lang w:val="en-GB"/>
              </w:rPr>
            </w:pPr>
            <w:r w:rsidRPr="000958E5">
              <w:rPr>
                <w:rFonts w:ascii="Arial" w:hAnsi="Arial" w:cs="Arial"/>
                <w:sz w:val="20"/>
                <w:szCs w:val="20"/>
                <w:lang w:val="en-GB"/>
              </w:rPr>
              <w:t xml:space="preserve">RR11.2 </w:t>
            </w:r>
          </w:p>
          <w:p w:rsidR="00CB2A38" w:rsidRPr="000958E5" w:rsidRDefault="00CB2A38" w:rsidP="0025681D">
            <w:pPr>
              <w:pStyle w:val="Default"/>
              <w:jc w:val="both"/>
              <w:rPr>
                <w:rFonts w:ascii="Arial" w:hAnsi="Arial" w:cs="Arial"/>
                <w:sz w:val="20"/>
                <w:szCs w:val="20"/>
                <w:lang w:val="en-GB"/>
              </w:rPr>
            </w:pPr>
          </w:p>
        </w:tc>
      </w:tr>
    </w:tbl>
    <w:p w:rsidR="00CB2A38" w:rsidRPr="000958E5" w:rsidRDefault="00CB2A38" w:rsidP="00CB2A38">
      <w:pPr>
        <w:pStyle w:val="Nincstrkz"/>
        <w:jc w:val="both"/>
        <w:rPr>
          <w:rFonts w:ascii="Arial" w:hAnsi="Arial" w:cs="Arial"/>
          <w:lang w:val="en-GB"/>
        </w:rPr>
      </w:pPr>
    </w:p>
    <w:p w:rsidR="00CB2A38" w:rsidRPr="000958E5" w:rsidRDefault="00CB2A38" w:rsidP="00CB2A38">
      <w:pPr>
        <w:pStyle w:val="Nincstrkz"/>
        <w:jc w:val="both"/>
        <w:rPr>
          <w:rFonts w:ascii="Arial" w:hAnsi="Arial" w:cs="Arial"/>
          <w:lang w:val="en-GB"/>
        </w:rPr>
      </w:pPr>
    </w:p>
    <w:p w:rsidR="0025681D" w:rsidRPr="000958E5" w:rsidRDefault="0025681D" w:rsidP="0025681D">
      <w:pPr>
        <w:pStyle w:val="Nincstrkz"/>
        <w:ind w:left="426" w:right="340"/>
        <w:jc w:val="both"/>
        <w:rPr>
          <w:rFonts w:ascii="Arial" w:hAnsi="Arial" w:cs="Arial"/>
          <w:b/>
          <w:lang w:val="en-GB"/>
        </w:rPr>
      </w:pPr>
      <w:r w:rsidRPr="000958E5">
        <w:rPr>
          <w:rFonts w:ascii="Arial" w:hAnsi="Arial" w:cs="Arial"/>
          <w:b/>
          <w:lang w:val="en-GB"/>
        </w:rPr>
        <w:t>References:</w:t>
      </w:r>
    </w:p>
    <w:p w:rsidR="00D44982" w:rsidRPr="000958E5" w:rsidRDefault="00310ADF" w:rsidP="00A77490">
      <w:pPr>
        <w:pStyle w:val="Nincstrkz"/>
        <w:numPr>
          <w:ilvl w:val="0"/>
          <w:numId w:val="11"/>
        </w:numPr>
        <w:ind w:right="340"/>
        <w:jc w:val="both"/>
        <w:rPr>
          <w:rFonts w:ascii="Arial" w:hAnsi="Arial" w:cs="Arial"/>
          <w:lang w:val="en-GB"/>
        </w:rPr>
      </w:pPr>
      <w:r w:rsidRPr="000958E5">
        <w:rPr>
          <w:rFonts w:ascii="Arial" w:hAnsi="Arial" w:cs="Arial"/>
          <w:lang w:val="en-GB"/>
        </w:rPr>
        <w:t>Radio Regulations</w:t>
      </w:r>
      <w:r w:rsidR="0025681D" w:rsidRPr="000958E5">
        <w:rPr>
          <w:rFonts w:ascii="Arial" w:hAnsi="Arial" w:cs="Arial"/>
          <w:lang w:val="en-GB"/>
        </w:rPr>
        <w:t xml:space="preserve"> (Edition 2012)</w:t>
      </w:r>
    </w:p>
    <w:p w:rsidR="00D44982" w:rsidRPr="000958E5" w:rsidRDefault="0025681D" w:rsidP="00A77490">
      <w:pPr>
        <w:pStyle w:val="Nincstrkz"/>
        <w:numPr>
          <w:ilvl w:val="0"/>
          <w:numId w:val="11"/>
        </w:numPr>
        <w:ind w:right="340"/>
        <w:jc w:val="both"/>
        <w:rPr>
          <w:rFonts w:ascii="Arial" w:hAnsi="Arial" w:cs="Arial"/>
          <w:lang w:val="en-GB"/>
        </w:rPr>
      </w:pPr>
      <w:r w:rsidRPr="000958E5">
        <w:rPr>
          <w:rFonts w:ascii="Arial" w:hAnsi="Arial" w:cs="Arial"/>
          <w:lang w:val="en-GB"/>
        </w:rPr>
        <w:t>ITU-R Recommendations (F)</w:t>
      </w:r>
    </w:p>
    <w:p w:rsidR="00D44982" w:rsidRPr="000958E5" w:rsidRDefault="0025681D" w:rsidP="00A77490">
      <w:pPr>
        <w:pStyle w:val="Nincstrkz"/>
        <w:numPr>
          <w:ilvl w:val="0"/>
          <w:numId w:val="11"/>
        </w:numPr>
        <w:ind w:right="340"/>
        <w:jc w:val="both"/>
        <w:rPr>
          <w:rFonts w:ascii="Arial" w:hAnsi="Arial" w:cs="Arial"/>
          <w:lang w:val="en-GB"/>
        </w:rPr>
      </w:pPr>
      <w:r w:rsidRPr="000958E5">
        <w:rPr>
          <w:rFonts w:ascii="Arial" w:hAnsi="Arial" w:cs="Arial"/>
          <w:lang w:val="en-GB"/>
        </w:rPr>
        <w:t>ITU-R Reports (F)</w:t>
      </w:r>
    </w:p>
    <w:p w:rsidR="0094583C" w:rsidRPr="000958E5" w:rsidRDefault="0094583C" w:rsidP="0094583C">
      <w:pPr>
        <w:pStyle w:val="Default"/>
        <w:numPr>
          <w:ilvl w:val="0"/>
          <w:numId w:val="11"/>
        </w:numPr>
        <w:rPr>
          <w:rFonts w:ascii="Arial" w:hAnsi="Arial" w:cs="Arial"/>
          <w:sz w:val="22"/>
          <w:szCs w:val="22"/>
          <w:lang w:val="en-GB"/>
        </w:rPr>
      </w:pPr>
      <w:r w:rsidRPr="000958E5">
        <w:rPr>
          <w:rFonts w:ascii="Arial" w:hAnsi="Arial" w:cs="Arial"/>
          <w:sz w:val="22"/>
          <w:szCs w:val="22"/>
          <w:lang w:val="en-GB"/>
        </w:rPr>
        <w:t>Appendix 1-to-Annex 3.5-15032016.pdf (</w:t>
      </w:r>
      <w:r w:rsidRPr="000958E5">
        <w:rPr>
          <w:rFonts w:ascii="Arial" w:hAnsi="Arial" w:cs="Arial"/>
          <w:bCs/>
          <w:sz w:val="22"/>
          <w:szCs w:val="22"/>
          <w:lang w:val="en-GB"/>
        </w:rPr>
        <w:t>FXM Submission guidelines)</w:t>
      </w:r>
    </w:p>
    <w:bookmarkEnd w:id="0"/>
    <w:p w:rsidR="003E1FDC" w:rsidRPr="000958E5" w:rsidRDefault="003E1FDC" w:rsidP="007D7647">
      <w:pPr>
        <w:pStyle w:val="Nincstrkz"/>
        <w:jc w:val="both"/>
        <w:rPr>
          <w:rFonts w:ascii="Arial" w:hAnsi="Arial" w:cs="Arial"/>
          <w:lang w:val="en-GB"/>
        </w:rPr>
      </w:pPr>
    </w:p>
    <w:sectPr w:rsidR="003E1FDC" w:rsidRPr="000958E5" w:rsidSect="002F1F3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357" w:rsidRDefault="00A43357" w:rsidP="00A04AAC">
      <w:pPr>
        <w:spacing w:after="0" w:line="240" w:lineRule="auto"/>
      </w:pPr>
      <w:r>
        <w:separator/>
      </w:r>
    </w:p>
  </w:endnote>
  <w:endnote w:type="continuationSeparator" w:id="0">
    <w:p w:rsidR="00A43357" w:rsidRDefault="00A43357" w:rsidP="00A04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9567"/>
      <w:docPartObj>
        <w:docPartGallery w:val="Page Numbers (Bottom of Page)"/>
        <w:docPartUnique/>
      </w:docPartObj>
    </w:sdtPr>
    <w:sdtEndPr/>
    <w:sdtContent>
      <w:p w:rsidR="00394085" w:rsidRDefault="00310ADF">
        <w:pPr>
          <w:pStyle w:val="llb"/>
          <w:jc w:val="center"/>
        </w:pPr>
        <w:r>
          <w:fldChar w:fldCharType="begin"/>
        </w:r>
        <w:r w:rsidR="00394085">
          <w:instrText xml:space="preserve"> PAGE   \* MERGEFORMAT </w:instrText>
        </w:r>
        <w:r>
          <w:fldChar w:fldCharType="separate"/>
        </w:r>
        <w:r w:rsidR="000958E5">
          <w:rPr>
            <w:noProof/>
          </w:rPr>
          <w:t>1</w:t>
        </w:r>
        <w:r>
          <w:fldChar w:fldCharType="end"/>
        </w:r>
      </w:p>
    </w:sdtContent>
  </w:sdt>
  <w:p w:rsidR="008E2C50" w:rsidRDefault="008E2C5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357" w:rsidRDefault="00A43357" w:rsidP="00A04AAC">
      <w:pPr>
        <w:spacing w:after="0" w:line="240" w:lineRule="auto"/>
      </w:pPr>
      <w:r>
        <w:separator/>
      </w:r>
    </w:p>
  </w:footnote>
  <w:footnote w:type="continuationSeparator" w:id="0">
    <w:p w:rsidR="00A43357" w:rsidRDefault="00A43357" w:rsidP="00A04A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55488"/>
    <w:multiLevelType w:val="hybridMultilevel"/>
    <w:tmpl w:val="1EC857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271B69FB"/>
    <w:multiLevelType w:val="hybridMultilevel"/>
    <w:tmpl w:val="75E42B8E"/>
    <w:lvl w:ilvl="0" w:tplc="EBD03BAA">
      <w:numFmt w:val="bullet"/>
      <w:lvlText w:val="-"/>
      <w:lvlJc w:val="left"/>
      <w:pPr>
        <w:ind w:left="720" w:hanging="360"/>
      </w:pPr>
      <w:rPr>
        <w:rFonts w:ascii="Times New Roman" w:eastAsia="MS Mincho"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F980FEB"/>
    <w:multiLevelType w:val="hybridMultilevel"/>
    <w:tmpl w:val="70C0E854"/>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8AE3207"/>
    <w:multiLevelType w:val="hybridMultilevel"/>
    <w:tmpl w:val="BBECFC7C"/>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40570C94"/>
    <w:multiLevelType w:val="multilevel"/>
    <w:tmpl w:val="6F5EF6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33539BA"/>
    <w:multiLevelType w:val="multilevel"/>
    <w:tmpl w:val="0FE2AD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72A0A86"/>
    <w:multiLevelType w:val="hybridMultilevel"/>
    <w:tmpl w:val="C34EFEF0"/>
    <w:lvl w:ilvl="0" w:tplc="CC52E534">
      <w:start w:val="9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C3D3B06"/>
    <w:multiLevelType w:val="multilevel"/>
    <w:tmpl w:val="3D2C5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0DD0D79"/>
    <w:multiLevelType w:val="hybridMultilevel"/>
    <w:tmpl w:val="70C0E854"/>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78B50318"/>
    <w:multiLevelType w:val="hybridMultilevel"/>
    <w:tmpl w:val="C7605D50"/>
    <w:lvl w:ilvl="0" w:tplc="635C2904">
      <w:start w:val="1"/>
      <w:numFmt w:val="bullet"/>
      <w:lvlText w:val="-"/>
      <w:lvlJc w:val="left"/>
      <w:pPr>
        <w:ind w:left="720" w:hanging="360"/>
      </w:pPr>
      <w:rPr>
        <w:rFonts w:ascii="Times New Roman" w:eastAsia="MS Mincho"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7FF403DA"/>
    <w:multiLevelType w:val="hybridMultilevel"/>
    <w:tmpl w:val="A7C48D06"/>
    <w:lvl w:ilvl="0" w:tplc="F5B48FD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 w:numId="5">
    <w:abstractNumId w:val="7"/>
  </w:num>
  <w:num w:numId="6">
    <w:abstractNumId w:val="8"/>
  </w:num>
  <w:num w:numId="7">
    <w:abstractNumId w:val="10"/>
  </w:num>
  <w:num w:numId="8">
    <w:abstractNumId w:val="5"/>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D3"/>
    <w:rsid w:val="00003EA3"/>
    <w:rsid w:val="00004265"/>
    <w:rsid w:val="00056F3C"/>
    <w:rsid w:val="00063DC3"/>
    <w:rsid w:val="0007277C"/>
    <w:rsid w:val="0008437B"/>
    <w:rsid w:val="00094DFA"/>
    <w:rsid w:val="000958E5"/>
    <w:rsid w:val="000A2F21"/>
    <w:rsid w:val="000B4444"/>
    <w:rsid w:val="000C3C40"/>
    <w:rsid w:val="000E2887"/>
    <w:rsid w:val="000E3FD6"/>
    <w:rsid w:val="000E7AB5"/>
    <w:rsid w:val="00191E6A"/>
    <w:rsid w:val="00193F9A"/>
    <w:rsid w:val="001A7D63"/>
    <w:rsid w:val="001B0028"/>
    <w:rsid w:val="001C47F0"/>
    <w:rsid w:val="001C5CA3"/>
    <w:rsid w:val="001F01D8"/>
    <w:rsid w:val="001F0661"/>
    <w:rsid w:val="002078C0"/>
    <w:rsid w:val="00207AE8"/>
    <w:rsid w:val="00207B23"/>
    <w:rsid w:val="00210371"/>
    <w:rsid w:val="002326A5"/>
    <w:rsid w:val="0025681D"/>
    <w:rsid w:val="00283121"/>
    <w:rsid w:val="002A43B7"/>
    <w:rsid w:val="002C719C"/>
    <w:rsid w:val="002D448D"/>
    <w:rsid w:val="002E0E1B"/>
    <w:rsid w:val="002F0140"/>
    <w:rsid w:val="002F1F30"/>
    <w:rsid w:val="0030439C"/>
    <w:rsid w:val="003056F0"/>
    <w:rsid w:val="00306EBE"/>
    <w:rsid w:val="00310ADF"/>
    <w:rsid w:val="00313574"/>
    <w:rsid w:val="003448CA"/>
    <w:rsid w:val="0036093B"/>
    <w:rsid w:val="00373D7C"/>
    <w:rsid w:val="00392911"/>
    <w:rsid w:val="00394085"/>
    <w:rsid w:val="003A28D3"/>
    <w:rsid w:val="003A424A"/>
    <w:rsid w:val="003A5E41"/>
    <w:rsid w:val="003C3D7D"/>
    <w:rsid w:val="003C500A"/>
    <w:rsid w:val="003E1FDC"/>
    <w:rsid w:val="004144CE"/>
    <w:rsid w:val="00434E97"/>
    <w:rsid w:val="0046402D"/>
    <w:rsid w:val="00482B4E"/>
    <w:rsid w:val="004F4CB7"/>
    <w:rsid w:val="004F6630"/>
    <w:rsid w:val="00532716"/>
    <w:rsid w:val="0054080C"/>
    <w:rsid w:val="00567577"/>
    <w:rsid w:val="00576726"/>
    <w:rsid w:val="0057737D"/>
    <w:rsid w:val="00577E95"/>
    <w:rsid w:val="0059487B"/>
    <w:rsid w:val="005A32D1"/>
    <w:rsid w:val="005C2356"/>
    <w:rsid w:val="005D40B0"/>
    <w:rsid w:val="005E48B6"/>
    <w:rsid w:val="0063064F"/>
    <w:rsid w:val="0064048C"/>
    <w:rsid w:val="006417F9"/>
    <w:rsid w:val="00665601"/>
    <w:rsid w:val="006929CF"/>
    <w:rsid w:val="006B589B"/>
    <w:rsid w:val="0070206A"/>
    <w:rsid w:val="00705C3B"/>
    <w:rsid w:val="00721937"/>
    <w:rsid w:val="007262F1"/>
    <w:rsid w:val="00752AA0"/>
    <w:rsid w:val="00752B89"/>
    <w:rsid w:val="0076429C"/>
    <w:rsid w:val="00764BDC"/>
    <w:rsid w:val="00791A56"/>
    <w:rsid w:val="007C2C75"/>
    <w:rsid w:val="007D295E"/>
    <w:rsid w:val="007D7647"/>
    <w:rsid w:val="007E7937"/>
    <w:rsid w:val="00823040"/>
    <w:rsid w:val="008375AF"/>
    <w:rsid w:val="008850A6"/>
    <w:rsid w:val="008B14AD"/>
    <w:rsid w:val="008C502F"/>
    <w:rsid w:val="008D3ECD"/>
    <w:rsid w:val="008E2C50"/>
    <w:rsid w:val="008F3BF3"/>
    <w:rsid w:val="008F7122"/>
    <w:rsid w:val="00902374"/>
    <w:rsid w:val="009122A9"/>
    <w:rsid w:val="00935B33"/>
    <w:rsid w:val="0094583C"/>
    <w:rsid w:val="00984FA2"/>
    <w:rsid w:val="009B5FC2"/>
    <w:rsid w:val="00A00C87"/>
    <w:rsid w:val="00A04AAC"/>
    <w:rsid w:val="00A17666"/>
    <w:rsid w:val="00A2454B"/>
    <w:rsid w:val="00A43357"/>
    <w:rsid w:val="00A43735"/>
    <w:rsid w:val="00A5629C"/>
    <w:rsid w:val="00A57F80"/>
    <w:rsid w:val="00A630C6"/>
    <w:rsid w:val="00A7024F"/>
    <w:rsid w:val="00A72794"/>
    <w:rsid w:val="00A763BC"/>
    <w:rsid w:val="00A76980"/>
    <w:rsid w:val="00A77490"/>
    <w:rsid w:val="00A84B39"/>
    <w:rsid w:val="00A91D48"/>
    <w:rsid w:val="00A9278F"/>
    <w:rsid w:val="00B02C02"/>
    <w:rsid w:val="00B52E9E"/>
    <w:rsid w:val="00B60DA9"/>
    <w:rsid w:val="00B820EC"/>
    <w:rsid w:val="00B939DD"/>
    <w:rsid w:val="00BB583B"/>
    <w:rsid w:val="00BD54A0"/>
    <w:rsid w:val="00BD6258"/>
    <w:rsid w:val="00BE775B"/>
    <w:rsid w:val="00BF120C"/>
    <w:rsid w:val="00C32B74"/>
    <w:rsid w:val="00C83E77"/>
    <w:rsid w:val="00C97856"/>
    <w:rsid w:val="00CB2A38"/>
    <w:rsid w:val="00CD0B5E"/>
    <w:rsid w:val="00CF4429"/>
    <w:rsid w:val="00CF66DA"/>
    <w:rsid w:val="00D23C98"/>
    <w:rsid w:val="00D34090"/>
    <w:rsid w:val="00D40C78"/>
    <w:rsid w:val="00D41A4B"/>
    <w:rsid w:val="00D44982"/>
    <w:rsid w:val="00D6260A"/>
    <w:rsid w:val="00D75FEE"/>
    <w:rsid w:val="00D82A19"/>
    <w:rsid w:val="00D87843"/>
    <w:rsid w:val="00DA7AA7"/>
    <w:rsid w:val="00E0368C"/>
    <w:rsid w:val="00E222C3"/>
    <w:rsid w:val="00E23FF2"/>
    <w:rsid w:val="00E4511D"/>
    <w:rsid w:val="00E85D79"/>
    <w:rsid w:val="00E9414B"/>
    <w:rsid w:val="00EB4938"/>
    <w:rsid w:val="00EF34B2"/>
    <w:rsid w:val="00F13476"/>
    <w:rsid w:val="00F167DC"/>
    <w:rsid w:val="00F16A7F"/>
    <w:rsid w:val="00F47386"/>
    <w:rsid w:val="00F60376"/>
    <w:rsid w:val="00F83824"/>
    <w:rsid w:val="00F85205"/>
    <w:rsid w:val="00FC5A0F"/>
    <w:rsid w:val="00FF2908"/>
    <w:rsid w:val="00FF627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F4429"/>
    <w:rPr>
      <w:lang w:val="en-GB"/>
    </w:rPr>
  </w:style>
  <w:style w:type="paragraph" w:styleId="Cmsor1">
    <w:name w:val="heading 1"/>
    <w:basedOn w:val="Norml"/>
    <w:next w:val="Norml"/>
    <w:link w:val="Cmsor1Char"/>
    <w:uiPriority w:val="9"/>
    <w:qFormat/>
    <w:rsid w:val="00F852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l2,h2"/>
    <w:basedOn w:val="Norml"/>
    <w:next w:val="Norml"/>
    <w:link w:val="Cmsor2Char"/>
    <w:qFormat/>
    <w:rsid w:val="00F85205"/>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ascii="Times New Roman" w:eastAsia="Times New Roman" w:hAnsi="Times New Roman" w:cs="Times New Roman"/>
      <w:b/>
      <w:sz w:val="24"/>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A72794"/>
    <w:pPr>
      <w:spacing w:after="0" w:line="240" w:lineRule="auto"/>
    </w:pPr>
  </w:style>
  <w:style w:type="paragraph" w:customStyle="1" w:styleId="Equation">
    <w:name w:val="Equation"/>
    <w:basedOn w:val="Norml"/>
    <w:link w:val="EquationChar"/>
    <w:rsid w:val="008375AF"/>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customStyle="1" w:styleId="EquationChar">
    <w:name w:val="Equation Char"/>
    <w:link w:val="Equation"/>
    <w:uiPriority w:val="99"/>
    <w:locked/>
    <w:rsid w:val="008375AF"/>
    <w:rPr>
      <w:rFonts w:ascii="Times New Roman" w:eastAsia="Times New Roman" w:hAnsi="Times New Roman" w:cs="Times New Roman"/>
      <w:sz w:val="24"/>
      <w:szCs w:val="20"/>
      <w:lang w:val="en-GB"/>
    </w:rPr>
  </w:style>
  <w:style w:type="paragraph" w:styleId="Buborkszveg">
    <w:name w:val="Balloon Text"/>
    <w:basedOn w:val="Norml"/>
    <w:link w:val="BuborkszvegChar"/>
    <w:uiPriority w:val="99"/>
    <w:semiHidden/>
    <w:unhideWhenUsed/>
    <w:rsid w:val="008375A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375AF"/>
    <w:rPr>
      <w:rFonts w:ascii="Tahoma" w:hAnsi="Tahoma" w:cs="Tahoma"/>
      <w:sz w:val="16"/>
      <w:szCs w:val="16"/>
      <w:lang w:val="en-GB"/>
    </w:rPr>
  </w:style>
  <w:style w:type="paragraph" w:styleId="llb">
    <w:name w:val="footer"/>
    <w:basedOn w:val="Norml"/>
    <w:link w:val="llbChar"/>
    <w:uiPriority w:val="99"/>
    <w:rsid w:val="0076429C"/>
    <w:pPr>
      <w:widowControl w:val="0"/>
      <w:tabs>
        <w:tab w:val="center" w:pos="4536"/>
        <w:tab w:val="right" w:pos="9072"/>
      </w:tabs>
      <w:suppressAutoHyphens/>
      <w:spacing w:after="0" w:line="240" w:lineRule="auto"/>
    </w:pPr>
    <w:rPr>
      <w:rFonts w:ascii="Times New Roman" w:eastAsia="Times New Roman" w:hAnsi="Times New Roman" w:cs="Times New Roman"/>
      <w:sz w:val="20"/>
      <w:szCs w:val="20"/>
      <w:lang w:val="en-US" w:eastAsia="ar-SA"/>
    </w:rPr>
  </w:style>
  <w:style w:type="character" w:customStyle="1" w:styleId="llbChar">
    <w:name w:val="Élőláb Char"/>
    <w:basedOn w:val="Bekezdsalapbettpusa"/>
    <w:link w:val="llb"/>
    <w:uiPriority w:val="99"/>
    <w:rsid w:val="0076429C"/>
    <w:rPr>
      <w:rFonts w:ascii="Times New Roman" w:eastAsia="Times New Roman" w:hAnsi="Times New Roman" w:cs="Times New Roman"/>
      <w:sz w:val="20"/>
      <w:szCs w:val="20"/>
      <w:lang w:val="en-US" w:eastAsia="ar-SA"/>
    </w:rPr>
  </w:style>
  <w:style w:type="paragraph" w:customStyle="1" w:styleId="Equationlegend">
    <w:name w:val="Equation_legend"/>
    <w:basedOn w:val="Normlbehzs"/>
    <w:rsid w:val="00283121"/>
    <w:pPr>
      <w:tabs>
        <w:tab w:val="right" w:pos="1701"/>
        <w:tab w:val="left" w:pos="1985"/>
      </w:tabs>
      <w:overflowPunct w:val="0"/>
      <w:autoSpaceDE w:val="0"/>
      <w:autoSpaceDN w:val="0"/>
      <w:adjustRightInd w:val="0"/>
      <w:spacing w:before="80" w:after="0" w:line="240" w:lineRule="auto"/>
      <w:ind w:left="1985" w:hanging="1985"/>
      <w:jc w:val="both"/>
      <w:textAlignment w:val="baseline"/>
    </w:pPr>
    <w:rPr>
      <w:rFonts w:ascii="Times New Roman" w:eastAsia="Times New Roman" w:hAnsi="Times New Roman" w:cs="Times New Roman"/>
      <w:sz w:val="24"/>
      <w:szCs w:val="20"/>
      <w:lang w:val="en-US"/>
    </w:rPr>
  </w:style>
  <w:style w:type="paragraph" w:customStyle="1" w:styleId="Blanc">
    <w:name w:val="Blanc"/>
    <w:basedOn w:val="Norml"/>
    <w:next w:val="Norml"/>
    <w:rsid w:val="00283121"/>
    <w:pPr>
      <w:keepNext/>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rPr>
  </w:style>
  <w:style w:type="paragraph" w:styleId="Normlbehzs">
    <w:name w:val="Normal Indent"/>
    <w:basedOn w:val="Norml"/>
    <w:uiPriority w:val="99"/>
    <w:semiHidden/>
    <w:unhideWhenUsed/>
    <w:rsid w:val="00283121"/>
    <w:pPr>
      <w:ind w:left="708"/>
    </w:pPr>
  </w:style>
  <w:style w:type="paragraph" w:styleId="Listaszerbekezds">
    <w:name w:val="List Paragraph"/>
    <w:basedOn w:val="Norml"/>
    <w:uiPriority w:val="34"/>
    <w:qFormat/>
    <w:rsid w:val="00283121"/>
    <w:pPr>
      <w:ind w:left="720"/>
      <w:contextualSpacing/>
    </w:pPr>
  </w:style>
  <w:style w:type="character" w:customStyle="1" w:styleId="Cmsor2Char">
    <w:name w:val="Címsor 2 Char"/>
    <w:aliases w:val="l2 Char,h2 Char"/>
    <w:basedOn w:val="Bekezdsalapbettpusa"/>
    <w:link w:val="Cmsor2"/>
    <w:rsid w:val="00F85205"/>
    <w:rPr>
      <w:rFonts w:ascii="Times New Roman" w:eastAsia="Times New Roman" w:hAnsi="Times New Roman" w:cs="Times New Roman"/>
      <w:b/>
      <w:sz w:val="24"/>
      <w:szCs w:val="20"/>
      <w:lang w:val="en-GB"/>
    </w:rPr>
  </w:style>
  <w:style w:type="paragraph" w:customStyle="1" w:styleId="FigureNo">
    <w:name w:val="Figure_No"/>
    <w:basedOn w:val="Norml"/>
    <w:next w:val="Norml"/>
    <w:link w:val="FigureNoChar"/>
    <w:uiPriority w:val="99"/>
    <w:rsid w:val="00F85205"/>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0"/>
      <w:szCs w:val="20"/>
    </w:rPr>
  </w:style>
  <w:style w:type="character" w:customStyle="1" w:styleId="FigureNoChar">
    <w:name w:val="Figure_No Char"/>
    <w:link w:val="FigureNo"/>
    <w:uiPriority w:val="99"/>
    <w:locked/>
    <w:rsid w:val="00F85205"/>
    <w:rPr>
      <w:rFonts w:ascii="Times New Roman" w:eastAsia="Times New Roman" w:hAnsi="Times New Roman" w:cs="Times New Roman"/>
      <w:caps/>
      <w:sz w:val="20"/>
      <w:szCs w:val="20"/>
      <w:lang w:val="en-GB"/>
    </w:rPr>
  </w:style>
  <w:style w:type="paragraph" w:customStyle="1" w:styleId="Figuretitle">
    <w:name w:val="Figure_title"/>
    <w:basedOn w:val="Norml"/>
    <w:next w:val="Norml"/>
    <w:link w:val="FiguretitleChar"/>
    <w:uiPriority w:val="99"/>
    <w:rsid w:val="00F85205"/>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0"/>
      <w:szCs w:val="20"/>
    </w:rPr>
  </w:style>
  <w:style w:type="character" w:customStyle="1" w:styleId="FiguretitleChar">
    <w:name w:val="Figure_title Char"/>
    <w:link w:val="Figuretitle"/>
    <w:uiPriority w:val="99"/>
    <w:locked/>
    <w:rsid w:val="00F85205"/>
    <w:rPr>
      <w:rFonts w:ascii="Times New Roman Bold" w:eastAsia="Times New Roman" w:hAnsi="Times New Roman Bold" w:cs="Times New Roman"/>
      <w:b/>
      <w:sz w:val="20"/>
      <w:szCs w:val="20"/>
      <w:lang w:val="en-GB"/>
    </w:rPr>
  </w:style>
  <w:style w:type="character" w:customStyle="1" w:styleId="Cmsor1Char">
    <w:name w:val="Címsor 1 Char"/>
    <w:basedOn w:val="Bekezdsalapbettpusa"/>
    <w:link w:val="Cmsor1"/>
    <w:uiPriority w:val="9"/>
    <w:rsid w:val="00F85205"/>
    <w:rPr>
      <w:rFonts w:asciiTheme="majorHAnsi" w:eastAsiaTheme="majorEastAsia" w:hAnsiTheme="majorHAnsi" w:cstheme="majorBidi"/>
      <w:b/>
      <w:bCs/>
      <w:color w:val="365F91" w:themeColor="accent1" w:themeShade="BF"/>
      <w:sz w:val="28"/>
      <w:szCs w:val="28"/>
      <w:lang w:val="en-GB"/>
    </w:rPr>
  </w:style>
  <w:style w:type="paragraph" w:styleId="lfej">
    <w:name w:val="header"/>
    <w:basedOn w:val="Norml"/>
    <w:link w:val="lfejChar"/>
    <w:uiPriority w:val="99"/>
    <w:semiHidden/>
    <w:unhideWhenUsed/>
    <w:rsid w:val="00A04AAC"/>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A04AAC"/>
    <w:rPr>
      <w:lang w:val="en-GB"/>
    </w:rPr>
  </w:style>
  <w:style w:type="character" w:styleId="Hiperhivatkozs">
    <w:name w:val="Hyperlink"/>
    <w:basedOn w:val="Bekezdsalapbettpusa"/>
    <w:uiPriority w:val="99"/>
    <w:semiHidden/>
    <w:unhideWhenUsed/>
    <w:rsid w:val="00CB2A38"/>
    <w:rPr>
      <w:rFonts w:ascii="Verdana" w:hAnsi="Verdana" w:hint="default"/>
      <w:color w:val="02274B"/>
      <w:u w:val="single"/>
    </w:rPr>
  </w:style>
  <w:style w:type="table" w:styleId="Rcsostblzat">
    <w:name w:val="Table Grid"/>
    <w:basedOn w:val="Normltblzat"/>
    <w:uiPriority w:val="59"/>
    <w:rsid w:val="00CB2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681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F4429"/>
    <w:rPr>
      <w:lang w:val="en-GB"/>
    </w:rPr>
  </w:style>
  <w:style w:type="paragraph" w:styleId="Cmsor1">
    <w:name w:val="heading 1"/>
    <w:basedOn w:val="Norml"/>
    <w:next w:val="Norml"/>
    <w:link w:val="Cmsor1Char"/>
    <w:uiPriority w:val="9"/>
    <w:qFormat/>
    <w:rsid w:val="00F852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l2,h2"/>
    <w:basedOn w:val="Norml"/>
    <w:next w:val="Norml"/>
    <w:link w:val="Cmsor2Char"/>
    <w:qFormat/>
    <w:rsid w:val="00F85205"/>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ascii="Times New Roman" w:eastAsia="Times New Roman" w:hAnsi="Times New Roman" w:cs="Times New Roman"/>
      <w:b/>
      <w:sz w:val="24"/>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A72794"/>
    <w:pPr>
      <w:spacing w:after="0" w:line="240" w:lineRule="auto"/>
    </w:pPr>
  </w:style>
  <w:style w:type="paragraph" w:customStyle="1" w:styleId="Equation">
    <w:name w:val="Equation"/>
    <w:basedOn w:val="Norml"/>
    <w:link w:val="EquationChar"/>
    <w:rsid w:val="008375AF"/>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customStyle="1" w:styleId="EquationChar">
    <w:name w:val="Equation Char"/>
    <w:link w:val="Equation"/>
    <w:uiPriority w:val="99"/>
    <w:locked/>
    <w:rsid w:val="008375AF"/>
    <w:rPr>
      <w:rFonts w:ascii="Times New Roman" w:eastAsia="Times New Roman" w:hAnsi="Times New Roman" w:cs="Times New Roman"/>
      <w:sz w:val="24"/>
      <w:szCs w:val="20"/>
      <w:lang w:val="en-GB"/>
    </w:rPr>
  </w:style>
  <w:style w:type="paragraph" w:styleId="Buborkszveg">
    <w:name w:val="Balloon Text"/>
    <w:basedOn w:val="Norml"/>
    <w:link w:val="BuborkszvegChar"/>
    <w:uiPriority w:val="99"/>
    <w:semiHidden/>
    <w:unhideWhenUsed/>
    <w:rsid w:val="008375A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375AF"/>
    <w:rPr>
      <w:rFonts w:ascii="Tahoma" w:hAnsi="Tahoma" w:cs="Tahoma"/>
      <w:sz w:val="16"/>
      <w:szCs w:val="16"/>
      <w:lang w:val="en-GB"/>
    </w:rPr>
  </w:style>
  <w:style w:type="paragraph" w:styleId="llb">
    <w:name w:val="footer"/>
    <w:basedOn w:val="Norml"/>
    <w:link w:val="llbChar"/>
    <w:uiPriority w:val="99"/>
    <w:rsid w:val="0076429C"/>
    <w:pPr>
      <w:widowControl w:val="0"/>
      <w:tabs>
        <w:tab w:val="center" w:pos="4536"/>
        <w:tab w:val="right" w:pos="9072"/>
      </w:tabs>
      <w:suppressAutoHyphens/>
      <w:spacing w:after="0" w:line="240" w:lineRule="auto"/>
    </w:pPr>
    <w:rPr>
      <w:rFonts w:ascii="Times New Roman" w:eastAsia="Times New Roman" w:hAnsi="Times New Roman" w:cs="Times New Roman"/>
      <w:sz w:val="20"/>
      <w:szCs w:val="20"/>
      <w:lang w:val="en-US" w:eastAsia="ar-SA"/>
    </w:rPr>
  </w:style>
  <w:style w:type="character" w:customStyle="1" w:styleId="llbChar">
    <w:name w:val="Élőláb Char"/>
    <w:basedOn w:val="Bekezdsalapbettpusa"/>
    <w:link w:val="llb"/>
    <w:uiPriority w:val="99"/>
    <w:rsid w:val="0076429C"/>
    <w:rPr>
      <w:rFonts w:ascii="Times New Roman" w:eastAsia="Times New Roman" w:hAnsi="Times New Roman" w:cs="Times New Roman"/>
      <w:sz w:val="20"/>
      <w:szCs w:val="20"/>
      <w:lang w:val="en-US" w:eastAsia="ar-SA"/>
    </w:rPr>
  </w:style>
  <w:style w:type="paragraph" w:customStyle="1" w:styleId="Equationlegend">
    <w:name w:val="Equation_legend"/>
    <w:basedOn w:val="Normlbehzs"/>
    <w:rsid w:val="00283121"/>
    <w:pPr>
      <w:tabs>
        <w:tab w:val="right" w:pos="1701"/>
        <w:tab w:val="left" w:pos="1985"/>
      </w:tabs>
      <w:overflowPunct w:val="0"/>
      <w:autoSpaceDE w:val="0"/>
      <w:autoSpaceDN w:val="0"/>
      <w:adjustRightInd w:val="0"/>
      <w:spacing w:before="80" w:after="0" w:line="240" w:lineRule="auto"/>
      <w:ind w:left="1985" w:hanging="1985"/>
      <w:jc w:val="both"/>
      <w:textAlignment w:val="baseline"/>
    </w:pPr>
    <w:rPr>
      <w:rFonts w:ascii="Times New Roman" w:eastAsia="Times New Roman" w:hAnsi="Times New Roman" w:cs="Times New Roman"/>
      <w:sz w:val="24"/>
      <w:szCs w:val="20"/>
      <w:lang w:val="en-US"/>
    </w:rPr>
  </w:style>
  <w:style w:type="paragraph" w:customStyle="1" w:styleId="Blanc">
    <w:name w:val="Blanc"/>
    <w:basedOn w:val="Norml"/>
    <w:next w:val="Norml"/>
    <w:rsid w:val="00283121"/>
    <w:pPr>
      <w:keepNext/>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rPr>
  </w:style>
  <w:style w:type="paragraph" w:styleId="Normlbehzs">
    <w:name w:val="Normal Indent"/>
    <w:basedOn w:val="Norml"/>
    <w:uiPriority w:val="99"/>
    <w:semiHidden/>
    <w:unhideWhenUsed/>
    <w:rsid w:val="00283121"/>
    <w:pPr>
      <w:ind w:left="708"/>
    </w:pPr>
  </w:style>
  <w:style w:type="paragraph" w:styleId="Listaszerbekezds">
    <w:name w:val="List Paragraph"/>
    <w:basedOn w:val="Norml"/>
    <w:uiPriority w:val="34"/>
    <w:qFormat/>
    <w:rsid w:val="00283121"/>
    <w:pPr>
      <w:ind w:left="720"/>
      <w:contextualSpacing/>
    </w:pPr>
  </w:style>
  <w:style w:type="character" w:customStyle="1" w:styleId="Cmsor2Char">
    <w:name w:val="Címsor 2 Char"/>
    <w:aliases w:val="l2 Char,h2 Char"/>
    <w:basedOn w:val="Bekezdsalapbettpusa"/>
    <w:link w:val="Cmsor2"/>
    <w:rsid w:val="00F85205"/>
    <w:rPr>
      <w:rFonts w:ascii="Times New Roman" w:eastAsia="Times New Roman" w:hAnsi="Times New Roman" w:cs="Times New Roman"/>
      <w:b/>
      <w:sz w:val="24"/>
      <w:szCs w:val="20"/>
      <w:lang w:val="en-GB"/>
    </w:rPr>
  </w:style>
  <w:style w:type="paragraph" w:customStyle="1" w:styleId="FigureNo">
    <w:name w:val="Figure_No"/>
    <w:basedOn w:val="Norml"/>
    <w:next w:val="Norml"/>
    <w:link w:val="FigureNoChar"/>
    <w:uiPriority w:val="99"/>
    <w:rsid w:val="00F85205"/>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0"/>
      <w:szCs w:val="20"/>
    </w:rPr>
  </w:style>
  <w:style w:type="character" w:customStyle="1" w:styleId="FigureNoChar">
    <w:name w:val="Figure_No Char"/>
    <w:link w:val="FigureNo"/>
    <w:uiPriority w:val="99"/>
    <w:locked/>
    <w:rsid w:val="00F85205"/>
    <w:rPr>
      <w:rFonts w:ascii="Times New Roman" w:eastAsia="Times New Roman" w:hAnsi="Times New Roman" w:cs="Times New Roman"/>
      <w:caps/>
      <w:sz w:val="20"/>
      <w:szCs w:val="20"/>
      <w:lang w:val="en-GB"/>
    </w:rPr>
  </w:style>
  <w:style w:type="paragraph" w:customStyle="1" w:styleId="Figuretitle">
    <w:name w:val="Figure_title"/>
    <w:basedOn w:val="Norml"/>
    <w:next w:val="Norml"/>
    <w:link w:val="FiguretitleChar"/>
    <w:uiPriority w:val="99"/>
    <w:rsid w:val="00F85205"/>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0"/>
      <w:szCs w:val="20"/>
    </w:rPr>
  </w:style>
  <w:style w:type="character" w:customStyle="1" w:styleId="FiguretitleChar">
    <w:name w:val="Figure_title Char"/>
    <w:link w:val="Figuretitle"/>
    <w:uiPriority w:val="99"/>
    <w:locked/>
    <w:rsid w:val="00F85205"/>
    <w:rPr>
      <w:rFonts w:ascii="Times New Roman Bold" w:eastAsia="Times New Roman" w:hAnsi="Times New Roman Bold" w:cs="Times New Roman"/>
      <w:b/>
      <w:sz w:val="20"/>
      <w:szCs w:val="20"/>
      <w:lang w:val="en-GB"/>
    </w:rPr>
  </w:style>
  <w:style w:type="character" w:customStyle="1" w:styleId="Cmsor1Char">
    <w:name w:val="Címsor 1 Char"/>
    <w:basedOn w:val="Bekezdsalapbettpusa"/>
    <w:link w:val="Cmsor1"/>
    <w:uiPriority w:val="9"/>
    <w:rsid w:val="00F85205"/>
    <w:rPr>
      <w:rFonts w:asciiTheme="majorHAnsi" w:eastAsiaTheme="majorEastAsia" w:hAnsiTheme="majorHAnsi" w:cstheme="majorBidi"/>
      <w:b/>
      <w:bCs/>
      <w:color w:val="365F91" w:themeColor="accent1" w:themeShade="BF"/>
      <w:sz w:val="28"/>
      <w:szCs w:val="28"/>
      <w:lang w:val="en-GB"/>
    </w:rPr>
  </w:style>
  <w:style w:type="paragraph" w:styleId="lfej">
    <w:name w:val="header"/>
    <w:basedOn w:val="Norml"/>
    <w:link w:val="lfejChar"/>
    <w:uiPriority w:val="99"/>
    <w:semiHidden/>
    <w:unhideWhenUsed/>
    <w:rsid w:val="00A04AAC"/>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A04AAC"/>
    <w:rPr>
      <w:lang w:val="en-GB"/>
    </w:rPr>
  </w:style>
  <w:style w:type="character" w:styleId="Hiperhivatkozs">
    <w:name w:val="Hyperlink"/>
    <w:basedOn w:val="Bekezdsalapbettpusa"/>
    <w:uiPriority w:val="99"/>
    <w:semiHidden/>
    <w:unhideWhenUsed/>
    <w:rsid w:val="00CB2A38"/>
    <w:rPr>
      <w:rFonts w:ascii="Verdana" w:hAnsi="Verdana" w:hint="default"/>
      <w:color w:val="02274B"/>
      <w:u w:val="single"/>
    </w:rPr>
  </w:style>
  <w:style w:type="table" w:styleId="Rcsostblzat">
    <w:name w:val="Table Grid"/>
    <w:basedOn w:val="Normltblzat"/>
    <w:uiPriority w:val="59"/>
    <w:rsid w:val="00CB2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681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541799">
      <w:bodyDiv w:val="1"/>
      <w:marLeft w:val="0"/>
      <w:marRight w:val="0"/>
      <w:marTop w:val="0"/>
      <w:marBottom w:val="0"/>
      <w:divBdr>
        <w:top w:val="none" w:sz="0" w:space="0" w:color="auto"/>
        <w:left w:val="none" w:sz="0" w:space="0" w:color="auto"/>
        <w:bottom w:val="none" w:sz="0" w:space="0" w:color="auto"/>
        <w:right w:val="none" w:sz="0" w:space="0" w:color="auto"/>
      </w:divBdr>
      <w:divsChild>
        <w:div w:id="70853488">
          <w:marLeft w:val="0"/>
          <w:marRight w:val="0"/>
          <w:marTop w:val="0"/>
          <w:marBottom w:val="0"/>
          <w:divBdr>
            <w:top w:val="none" w:sz="0" w:space="0" w:color="auto"/>
            <w:left w:val="none" w:sz="0" w:space="0" w:color="auto"/>
            <w:bottom w:val="none" w:sz="0" w:space="0" w:color="auto"/>
            <w:right w:val="none" w:sz="0" w:space="0" w:color="auto"/>
          </w:divBdr>
          <w:divsChild>
            <w:div w:id="633750499">
              <w:marLeft w:val="0"/>
              <w:marRight w:val="0"/>
              <w:marTop w:val="0"/>
              <w:marBottom w:val="0"/>
              <w:divBdr>
                <w:top w:val="none" w:sz="0" w:space="0" w:color="auto"/>
                <w:left w:val="none" w:sz="0" w:space="0" w:color="auto"/>
                <w:bottom w:val="none" w:sz="0" w:space="0" w:color="auto"/>
                <w:right w:val="none" w:sz="0" w:space="0" w:color="auto"/>
              </w:divBdr>
              <w:divsChild>
                <w:div w:id="789250586">
                  <w:marLeft w:val="0"/>
                  <w:marRight w:val="0"/>
                  <w:marTop w:val="0"/>
                  <w:marBottom w:val="0"/>
                  <w:divBdr>
                    <w:top w:val="none" w:sz="0" w:space="0" w:color="auto"/>
                    <w:left w:val="none" w:sz="0" w:space="0" w:color="auto"/>
                    <w:bottom w:val="none" w:sz="0" w:space="0" w:color="auto"/>
                    <w:right w:val="none" w:sz="0" w:space="0" w:color="auto"/>
                  </w:divBdr>
                  <w:divsChild>
                    <w:div w:id="1739093442">
                      <w:marLeft w:val="0"/>
                      <w:marRight w:val="0"/>
                      <w:marTop w:val="0"/>
                      <w:marBottom w:val="0"/>
                      <w:divBdr>
                        <w:top w:val="none" w:sz="0" w:space="0" w:color="auto"/>
                        <w:left w:val="none" w:sz="0" w:space="0" w:color="auto"/>
                        <w:bottom w:val="none" w:sz="0" w:space="0" w:color="auto"/>
                        <w:right w:val="none" w:sz="0" w:space="0" w:color="auto"/>
                      </w:divBdr>
                      <w:divsChild>
                        <w:div w:id="1815222313">
                          <w:marLeft w:val="0"/>
                          <w:marRight w:val="0"/>
                          <w:marTop w:val="0"/>
                          <w:marBottom w:val="0"/>
                          <w:divBdr>
                            <w:top w:val="none" w:sz="0" w:space="0" w:color="auto"/>
                            <w:left w:val="none" w:sz="0" w:space="0" w:color="auto"/>
                            <w:bottom w:val="none" w:sz="0" w:space="0" w:color="auto"/>
                            <w:right w:val="none" w:sz="0" w:space="0" w:color="auto"/>
                          </w:divBdr>
                          <w:divsChild>
                            <w:div w:id="1777168518">
                              <w:marLeft w:val="0"/>
                              <w:marRight w:val="0"/>
                              <w:marTop w:val="0"/>
                              <w:marBottom w:val="0"/>
                              <w:divBdr>
                                <w:top w:val="none" w:sz="0" w:space="0" w:color="auto"/>
                                <w:left w:val="none" w:sz="0" w:space="0" w:color="auto"/>
                                <w:bottom w:val="none" w:sz="0" w:space="0" w:color="auto"/>
                                <w:right w:val="none" w:sz="0" w:space="0" w:color="auto"/>
                              </w:divBdr>
                              <w:divsChild>
                                <w:div w:id="57243149">
                                  <w:marLeft w:val="0"/>
                                  <w:marRight w:val="0"/>
                                  <w:marTop w:val="0"/>
                                  <w:marBottom w:val="0"/>
                                  <w:divBdr>
                                    <w:top w:val="none" w:sz="0" w:space="0" w:color="auto"/>
                                    <w:left w:val="none" w:sz="0" w:space="0" w:color="auto"/>
                                    <w:bottom w:val="none" w:sz="0" w:space="0" w:color="auto"/>
                                    <w:right w:val="none" w:sz="0" w:space="0" w:color="auto"/>
                                  </w:divBdr>
                                  <w:divsChild>
                                    <w:div w:id="15667648">
                                      <w:marLeft w:val="0"/>
                                      <w:marRight w:val="0"/>
                                      <w:marTop w:val="0"/>
                                      <w:marBottom w:val="0"/>
                                      <w:divBdr>
                                        <w:top w:val="none" w:sz="0" w:space="0" w:color="auto"/>
                                        <w:left w:val="none" w:sz="0" w:space="0" w:color="auto"/>
                                        <w:bottom w:val="none" w:sz="0" w:space="0" w:color="auto"/>
                                        <w:right w:val="none" w:sz="0" w:space="0" w:color="auto"/>
                                      </w:divBdr>
                                      <w:divsChild>
                                        <w:div w:id="1511410243">
                                          <w:marLeft w:val="0"/>
                                          <w:marRight w:val="0"/>
                                          <w:marTop w:val="0"/>
                                          <w:marBottom w:val="0"/>
                                          <w:divBdr>
                                            <w:top w:val="none" w:sz="0" w:space="0" w:color="auto"/>
                                            <w:left w:val="none" w:sz="0" w:space="0" w:color="auto"/>
                                            <w:bottom w:val="none" w:sz="0" w:space="0" w:color="auto"/>
                                            <w:right w:val="none" w:sz="0" w:space="0" w:color="auto"/>
                                          </w:divBdr>
                                          <w:divsChild>
                                            <w:div w:id="124204688">
                                              <w:marLeft w:val="0"/>
                                              <w:marRight w:val="0"/>
                                              <w:marTop w:val="0"/>
                                              <w:marBottom w:val="0"/>
                                              <w:divBdr>
                                                <w:top w:val="none" w:sz="0" w:space="0" w:color="auto"/>
                                                <w:left w:val="none" w:sz="0" w:space="0" w:color="auto"/>
                                                <w:bottom w:val="none" w:sz="0" w:space="0" w:color="auto"/>
                                                <w:right w:val="none" w:sz="0" w:space="0" w:color="auto"/>
                                              </w:divBdr>
                                              <w:divsChild>
                                                <w:div w:id="1009867202">
                                                  <w:marLeft w:val="0"/>
                                                  <w:marRight w:val="0"/>
                                                  <w:marTop w:val="0"/>
                                                  <w:marBottom w:val="0"/>
                                                  <w:divBdr>
                                                    <w:top w:val="none" w:sz="0" w:space="0" w:color="auto"/>
                                                    <w:left w:val="none" w:sz="0" w:space="0" w:color="auto"/>
                                                    <w:bottom w:val="none" w:sz="0" w:space="0" w:color="auto"/>
                                                    <w:right w:val="none" w:sz="0" w:space="0" w:color="auto"/>
                                                  </w:divBdr>
                                                  <w:divsChild>
                                                    <w:div w:id="1478911436">
                                                      <w:marLeft w:val="0"/>
                                                      <w:marRight w:val="0"/>
                                                      <w:marTop w:val="0"/>
                                                      <w:marBottom w:val="0"/>
                                                      <w:divBdr>
                                                        <w:top w:val="none" w:sz="0" w:space="0" w:color="auto"/>
                                                        <w:left w:val="none" w:sz="0" w:space="0" w:color="auto"/>
                                                        <w:bottom w:val="none" w:sz="0" w:space="0" w:color="auto"/>
                                                        <w:right w:val="none" w:sz="0" w:space="0" w:color="auto"/>
                                                      </w:divBdr>
                                                    </w:div>
                                                    <w:div w:id="18533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3598248">
      <w:bodyDiv w:val="1"/>
      <w:marLeft w:val="0"/>
      <w:marRight w:val="0"/>
      <w:marTop w:val="0"/>
      <w:marBottom w:val="0"/>
      <w:divBdr>
        <w:top w:val="none" w:sz="0" w:space="0" w:color="auto"/>
        <w:left w:val="none" w:sz="0" w:space="0" w:color="auto"/>
        <w:bottom w:val="none" w:sz="0" w:space="0" w:color="auto"/>
        <w:right w:val="none" w:sz="0" w:space="0" w:color="auto"/>
      </w:divBdr>
      <w:divsChild>
        <w:div w:id="1532108035">
          <w:marLeft w:val="0"/>
          <w:marRight w:val="0"/>
          <w:marTop w:val="0"/>
          <w:marBottom w:val="0"/>
          <w:divBdr>
            <w:top w:val="none" w:sz="0" w:space="0" w:color="auto"/>
            <w:left w:val="none" w:sz="0" w:space="0" w:color="auto"/>
            <w:bottom w:val="none" w:sz="0" w:space="0" w:color="auto"/>
            <w:right w:val="none" w:sz="0" w:space="0" w:color="auto"/>
          </w:divBdr>
          <w:divsChild>
            <w:div w:id="904493610">
              <w:marLeft w:val="0"/>
              <w:marRight w:val="0"/>
              <w:marTop w:val="0"/>
              <w:marBottom w:val="0"/>
              <w:divBdr>
                <w:top w:val="none" w:sz="0" w:space="0" w:color="auto"/>
                <w:left w:val="none" w:sz="0" w:space="0" w:color="auto"/>
                <w:bottom w:val="none" w:sz="0" w:space="0" w:color="auto"/>
                <w:right w:val="none" w:sz="0" w:space="0" w:color="auto"/>
              </w:divBdr>
              <w:divsChild>
                <w:div w:id="637223135">
                  <w:marLeft w:val="0"/>
                  <w:marRight w:val="0"/>
                  <w:marTop w:val="0"/>
                  <w:marBottom w:val="0"/>
                  <w:divBdr>
                    <w:top w:val="none" w:sz="0" w:space="0" w:color="auto"/>
                    <w:left w:val="none" w:sz="0" w:space="0" w:color="auto"/>
                    <w:bottom w:val="none" w:sz="0" w:space="0" w:color="auto"/>
                    <w:right w:val="none" w:sz="0" w:space="0" w:color="auto"/>
                  </w:divBdr>
                  <w:divsChild>
                    <w:div w:id="652031247">
                      <w:marLeft w:val="0"/>
                      <w:marRight w:val="0"/>
                      <w:marTop w:val="0"/>
                      <w:marBottom w:val="0"/>
                      <w:divBdr>
                        <w:top w:val="none" w:sz="0" w:space="0" w:color="auto"/>
                        <w:left w:val="none" w:sz="0" w:space="0" w:color="auto"/>
                        <w:bottom w:val="none" w:sz="0" w:space="0" w:color="auto"/>
                        <w:right w:val="none" w:sz="0" w:space="0" w:color="auto"/>
                      </w:divBdr>
                      <w:divsChild>
                        <w:div w:id="1287736166">
                          <w:marLeft w:val="0"/>
                          <w:marRight w:val="0"/>
                          <w:marTop w:val="0"/>
                          <w:marBottom w:val="0"/>
                          <w:divBdr>
                            <w:top w:val="none" w:sz="0" w:space="0" w:color="auto"/>
                            <w:left w:val="none" w:sz="0" w:space="0" w:color="auto"/>
                            <w:bottom w:val="none" w:sz="0" w:space="0" w:color="auto"/>
                            <w:right w:val="none" w:sz="0" w:space="0" w:color="auto"/>
                          </w:divBdr>
                          <w:divsChild>
                            <w:div w:id="469786893">
                              <w:marLeft w:val="0"/>
                              <w:marRight w:val="0"/>
                              <w:marTop w:val="0"/>
                              <w:marBottom w:val="0"/>
                              <w:divBdr>
                                <w:top w:val="none" w:sz="0" w:space="0" w:color="auto"/>
                                <w:left w:val="none" w:sz="0" w:space="0" w:color="auto"/>
                                <w:bottom w:val="none" w:sz="0" w:space="0" w:color="auto"/>
                                <w:right w:val="none" w:sz="0" w:space="0" w:color="auto"/>
                              </w:divBdr>
                              <w:divsChild>
                                <w:div w:id="559362169">
                                  <w:marLeft w:val="0"/>
                                  <w:marRight w:val="0"/>
                                  <w:marTop w:val="0"/>
                                  <w:marBottom w:val="0"/>
                                  <w:divBdr>
                                    <w:top w:val="none" w:sz="0" w:space="0" w:color="auto"/>
                                    <w:left w:val="none" w:sz="0" w:space="0" w:color="auto"/>
                                    <w:bottom w:val="none" w:sz="0" w:space="0" w:color="auto"/>
                                    <w:right w:val="none" w:sz="0" w:space="0" w:color="auto"/>
                                  </w:divBdr>
                                  <w:divsChild>
                                    <w:div w:id="1309047737">
                                      <w:marLeft w:val="0"/>
                                      <w:marRight w:val="0"/>
                                      <w:marTop w:val="0"/>
                                      <w:marBottom w:val="0"/>
                                      <w:divBdr>
                                        <w:top w:val="none" w:sz="0" w:space="0" w:color="auto"/>
                                        <w:left w:val="none" w:sz="0" w:space="0" w:color="auto"/>
                                        <w:bottom w:val="none" w:sz="0" w:space="0" w:color="auto"/>
                                        <w:right w:val="none" w:sz="0" w:space="0" w:color="auto"/>
                                      </w:divBdr>
                                      <w:divsChild>
                                        <w:div w:id="901407519">
                                          <w:marLeft w:val="0"/>
                                          <w:marRight w:val="0"/>
                                          <w:marTop w:val="0"/>
                                          <w:marBottom w:val="0"/>
                                          <w:divBdr>
                                            <w:top w:val="none" w:sz="0" w:space="0" w:color="auto"/>
                                            <w:left w:val="none" w:sz="0" w:space="0" w:color="auto"/>
                                            <w:bottom w:val="none" w:sz="0" w:space="0" w:color="auto"/>
                                            <w:right w:val="none" w:sz="0" w:space="0" w:color="auto"/>
                                          </w:divBdr>
                                          <w:divsChild>
                                            <w:div w:id="1175536839">
                                              <w:marLeft w:val="0"/>
                                              <w:marRight w:val="0"/>
                                              <w:marTop w:val="0"/>
                                              <w:marBottom w:val="0"/>
                                              <w:divBdr>
                                                <w:top w:val="none" w:sz="0" w:space="0" w:color="auto"/>
                                                <w:left w:val="none" w:sz="0" w:space="0" w:color="auto"/>
                                                <w:bottom w:val="none" w:sz="0" w:space="0" w:color="auto"/>
                                                <w:right w:val="none" w:sz="0" w:space="0" w:color="auto"/>
                                              </w:divBdr>
                                              <w:divsChild>
                                                <w:div w:id="11751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9721214">
      <w:bodyDiv w:val="1"/>
      <w:marLeft w:val="0"/>
      <w:marRight w:val="0"/>
      <w:marTop w:val="0"/>
      <w:marBottom w:val="0"/>
      <w:divBdr>
        <w:top w:val="none" w:sz="0" w:space="0" w:color="auto"/>
        <w:left w:val="none" w:sz="0" w:space="0" w:color="auto"/>
        <w:bottom w:val="none" w:sz="0" w:space="0" w:color="auto"/>
        <w:right w:val="none" w:sz="0" w:space="0" w:color="auto"/>
      </w:divBdr>
      <w:divsChild>
        <w:div w:id="950211601">
          <w:marLeft w:val="0"/>
          <w:marRight w:val="0"/>
          <w:marTop w:val="0"/>
          <w:marBottom w:val="0"/>
          <w:divBdr>
            <w:top w:val="none" w:sz="0" w:space="0" w:color="auto"/>
            <w:left w:val="none" w:sz="0" w:space="0" w:color="auto"/>
            <w:bottom w:val="none" w:sz="0" w:space="0" w:color="auto"/>
            <w:right w:val="none" w:sz="0" w:space="0" w:color="auto"/>
          </w:divBdr>
          <w:divsChild>
            <w:div w:id="1543975017">
              <w:marLeft w:val="0"/>
              <w:marRight w:val="0"/>
              <w:marTop w:val="0"/>
              <w:marBottom w:val="0"/>
              <w:divBdr>
                <w:top w:val="none" w:sz="0" w:space="0" w:color="auto"/>
                <w:left w:val="none" w:sz="0" w:space="0" w:color="auto"/>
                <w:bottom w:val="none" w:sz="0" w:space="0" w:color="auto"/>
                <w:right w:val="none" w:sz="0" w:space="0" w:color="auto"/>
              </w:divBdr>
              <w:divsChild>
                <w:div w:id="1477797120">
                  <w:marLeft w:val="0"/>
                  <w:marRight w:val="0"/>
                  <w:marTop w:val="0"/>
                  <w:marBottom w:val="0"/>
                  <w:divBdr>
                    <w:top w:val="none" w:sz="0" w:space="0" w:color="auto"/>
                    <w:left w:val="none" w:sz="0" w:space="0" w:color="auto"/>
                    <w:bottom w:val="none" w:sz="0" w:space="0" w:color="auto"/>
                    <w:right w:val="none" w:sz="0" w:space="0" w:color="auto"/>
                  </w:divBdr>
                  <w:divsChild>
                    <w:div w:id="695424448">
                      <w:marLeft w:val="0"/>
                      <w:marRight w:val="0"/>
                      <w:marTop w:val="0"/>
                      <w:marBottom w:val="0"/>
                      <w:divBdr>
                        <w:top w:val="none" w:sz="0" w:space="0" w:color="auto"/>
                        <w:left w:val="none" w:sz="0" w:space="0" w:color="auto"/>
                        <w:bottom w:val="none" w:sz="0" w:space="0" w:color="auto"/>
                        <w:right w:val="none" w:sz="0" w:space="0" w:color="auto"/>
                      </w:divBdr>
                      <w:divsChild>
                        <w:div w:id="1392848827">
                          <w:marLeft w:val="0"/>
                          <w:marRight w:val="0"/>
                          <w:marTop w:val="0"/>
                          <w:marBottom w:val="0"/>
                          <w:divBdr>
                            <w:top w:val="none" w:sz="0" w:space="0" w:color="auto"/>
                            <w:left w:val="none" w:sz="0" w:space="0" w:color="auto"/>
                            <w:bottom w:val="none" w:sz="0" w:space="0" w:color="auto"/>
                            <w:right w:val="none" w:sz="0" w:space="0" w:color="auto"/>
                          </w:divBdr>
                          <w:divsChild>
                            <w:div w:id="449858577">
                              <w:marLeft w:val="0"/>
                              <w:marRight w:val="0"/>
                              <w:marTop w:val="0"/>
                              <w:marBottom w:val="0"/>
                              <w:divBdr>
                                <w:top w:val="none" w:sz="0" w:space="0" w:color="auto"/>
                                <w:left w:val="none" w:sz="0" w:space="0" w:color="auto"/>
                                <w:bottom w:val="none" w:sz="0" w:space="0" w:color="auto"/>
                                <w:right w:val="none" w:sz="0" w:space="0" w:color="auto"/>
                              </w:divBdr>
                              <w:divsChild>
                                <w:div w:id="1112213809">
                                  <w:marLeft w:val="0"/>
                                  <w:marRight w:val="0"/>
                                  <w:marTop w:val="0"/>
                                  <w:marBottom w:val="0"/>
                                  <w:divBdr>
                                    <w:top w:val="none" w:sz="0" w:space="0" w:color="auto"/>
                                    <w:left w:val="none" w:sz="0" w:space="0" w:color="auto"/>
                                    <w:bottom w:val="none" w:sz="0" w:space="0" w:color="auto"/>
                                    <w:right w:val="none" w:sz="0" w:space="0" w:color="auto"/>
                                  </w:divBdr>
                                  <w:divsChild>
                                    <w:div w:id="498539850">
                                      <w:marLeft w:val="0"/>
                                      <w:marRight w:val="0"/>
                                      <w:marTop w:val="0"/>
                                      <w:marBottom w:val="0"/>
                                      <w:divBdr>
                                        <w:top w:val="none" w:sz="0" w:space="0" w:color="auto"/>
                                        <w:left w:val="none" w:sz="0" w:space="0" w:color="auto"/>
                                        <w:bottom w:val="none" w:sz="0" w:space="0" w:color="auto"/>
                                        <w:right w:val="none" w:sz="0" w:space="0" w:color="auto"/>
                                      </w:divBdr>
                                      <w:divsChild>
                                        <w:div w:id="13931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5755</Characters>
  <Application>Microsoft Office Word</Application>
  <DocSecurity>0</DocSecurity>
  <Lines>47</Lines>
  <Paragraphs>13</Paragraphs>
  <ScaleCrop>false</ScaleCrop>
  <HeadingPairs>
    <vt:vector size="6" baseType="variant">
      <vt:variant>
        <vt:lpstr>Cím</vt:lpstr>
      </vt:variant>
      <vt:variant>
        <vt:i4>1</vt:i4>
      </vt:variant>
      <vt:variant>
        <vt:lpstr>Titel</vt:lpstr>
      </vt:variant>
      <vt:variant>
        <vt:i4>1</vt:i4>
      </vt:variant>
      <vt:variant>
        <vt:lpstr>Naslov</vt:lpstr>
      </vt:variant>
      <vt:variant>
        <vt:i4>1</vt:i4>
      </vt:variant>
    </vt:vector>
  </HeadingPairs>
  <TitlesOfParts>
    <vt:vector size="3" baseType="lpstr">
      <vt:lpstr/>
      <vt:lpstr/>
      <vt:lpstr/>
    </vt:vector>
  </TitlesOfParts>
  <Company>NCA</Company>
  <LinksUpToDate>false</LinksUpToDate>
  <CharactersWithSpaces>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Simon István</cp:lastModifiedBy>
  <cp:revision>3</cp:revision>
  <cp:lastPrinted>2016-02-22T09:47:00Z</cp:lastPrinted>
  <dcterms:created xsi:type="dcterms:W3CDTF">2017-10-17T18:41:00Z</dcterms:created>
  <dcterms:modified xsi:type="dcterms:W3CDTF">2017-10-17T18:59:00Z</dcterms:modified>
</cp:coreProperties>
</file>